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7.png" ContentType="image/png"/>
  <Override PartName="/word/media/rId88.png" ContentType="image/png"/>
  <Override PartName="/word/media/rId55.png" ContentType="image/png"/>
  <Override PartName="/word/media/rId42.png" ContentType="image/png"/>
  <Override PartName="/word/media/rId4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EL7: Medical coding</w:t>
      </w:r>
    </w:p>
    <w:p>
      <w:pPr>
        <w:pStyle w:val="Subtitle"/>
      </w:pPr>
      <w:r>
        <w:t xml:space="preserve">ICD, ATC, KVÅ, regex</w:t>
      </w:r>
    </w:p>
    <w:bookmarkStart w:id="23" w:name="reading"/>
    <w:p>
      <w:pPr>
        <w:pStyle w:val="Heading2"/>
      </w:pPr>
      <w:r>
        <w:t xml:space="preserve">Reading</w:t>
      </w:r>
    </w:p>
    <w:p>
      <w:pPr>
        <w:pStyle w:val="Compact"/>
        <w:numPr>
          <w:ilvl w:val="0"/>
          <w:numId w:val="1001"/>
        </w:numPr>
      </w:pPr>
      <w:r>
        <w:t xml:space="preserve">(Nguyen 2022, ch. 3)</w:t>
      </w:r>
      <w:r>
        <w:t xml:space="preserve"> </w:t>
      </w:r>
      <w:r>
        <w:t xml:space="preserve">on standardized vocabularies. You may skip the sections</w:t>
      </w:r>
      <w:r>
        <w:t xml:space="preserve"> </w:t>
      </w:r>
      <w:r>
        <w:t xml:space="preserve">“CPT”</w:t>
      </w:r>
      <w:r>
        <w:t xml:space="preserve">,</w:t>
      </w:r>
      <w:r>
        <w:t xml:space="preserve"> </w:t>
      </w:r>
      <w:r>
        <w:t xml:space="preserve">“LOINC”</w:t>
      </w:r>
      <w:r>
        <w:t xml:space="preserve">,</w:t>
      </w:r>
      <w:r>
        <w:t xml:space="preserve"> </w:t>
      </w:r>
      <w:r>
        <w:t xml:space="preserve">“RxNorm”</w:t>
      </w:r>
      <w:r>
        <w:t xml:space="preserve"> </w:t>
      </w:r>
      <w:r>
        <w:t xml:space="preserve">and</w:t>
      </w:r>
      <w:r>
        <w:t xml:space="preserve"> </w:t>
      </w:r>
      <w:r>
        <w:t xml:space="preserve">“Using the Unified Medical Language System”</w:t>
      </w:r>
      <w:r>
        <w:t xml:space="preserve"> </w:t>
      </w:r>
      <w:r>
        <w:t xml:space="preserve">(not examined within the course). Even if you skip those section, remember to read the conclusions in the end of the chapter!</w:t>
      </w:r>
    </w:p>
    <w:p>
      <w:pPr>
        <w:pStyle w:val="Compact"/>
        <w:numPr>
          <w:ilvl w:val="0"/>
          <w:numId w:val="1001"/>
        </w:numPr>
      </w:pPr>
      <w:r>
        <w:t xml:space="preserve">Alharbi, Isouard, and Tolchard (2021)</w:t>
      </w:r>
      <w:r>
        <w:t xml:space="preserve"> </w:t>
      </w:r>
      <w:r>
        <w:t xml:space="preserve">provides an historical expose of the development of medical coding, with focus on the International Classificatin of Diseases (ICD).</w:t>
      </w:r>
    </w:p>
    <w:p>
      <w:pPr>
        <w:pStyle w:val="Compact"/>
        <w:numPr>
          <w:ilvl w:val="0"/>
          <w:numId w:val="1001"/>
        </w:numPr>
      </w:pPr>
      <w:r>
        <w:t xml:space="preserve">Nelson et al. (2024)</w:t>
      </w:r>
      <w:r>
        <w:t xml:space="preserve"> </w:t>
      </w:r>
      <w:r>
        <w:t xml:space="preserve">argue (based on a statistical analysis) that we should not put to much trust in the coded data (you may skip the methods section).</w:t>
      </w:r>
    </w:p>
    <w:p>
      <w:pPr>
        <w:pStyle w:val="Compact"/>
        <w:numPr>
          <w:ilvl w:val="0"/>
          <w:numId w:val="1001"/>
        </w:numPr>
      </w:pPr>
      <w:r>
        <w:t xml:space="preserve">Bindel and Seifert (2025)</w:t>
      </w:r>
      <w:r>
        <w:t xml:space="preserve"> </w:t>
      </w:r>
      <w:r>
        <w:t xml:space="preserve">introduces the Anatomical Therapeutic Chemical (ATC) and some associated problems. Focus on the introduction and conclusion sections (results and discussion may be skipped).</w:t>
      </w:r>
    </w:p>
    <w:p>
      <w:pPr>
        <w:pStyle w:val="Compact"/>
        <w:numPr>
          <w:ilvl w:val="0"/>
          <w:numId w:val="1001"/>
        </w:numPr>
      </w:pPr>
      <w:r>
        <w:t xml:space="preserve">(Wickham, Çetinkaya-Rundel, and Grolemund, n.d., ch. 15)</w:t>
      </w:r>
      <w:r>
        <w:t xml:space="preserve">: Using</w:t>
      </w:r>
      <w:r>
        <w:t xml:space="preserve"> </w:t>
      </w:r>
      <w:r>
        <w:rPr>
          <w:rStyle w:val="VerbatimChar"/>
        </w:rPr>
        <w:t xml:space="preserve">{stringr}</w:t>
      </w:r>
      <w:r>
        <w:t xml:space="preserve"> </w:t>
      </w:r>
      <w:r>
        <w:t xml:space="preserve">for regular expressions in R including exercises</w:t>
      </w:r>
    </w:p>
    <w:p>
      <w:pPr>
        <w:pStyle w:val="FirstParagraph"/>
      </w:pPr>
      <w:r>
        <w:rPr>
          <w:b/>
          <w:bCs/>
        </w:rPr>
        <w:t xml:space="preserve">Recommended references:</w:t>
      </w:r>
    </w:p>
    <w:p>
      <w:pPr>
        <w:pStyle w:val="Compact"/>
        <w:numPr>
          <w:ilvl w:val="0"/>
          <w:numId w:val="1002"/>
        </w:numPr>
      </w:pPr>
      <w:hyperlink r:id="rId20">
        <w:r>
          <w:rPr>
            <w:rStyle w:val="Hyperlink"/>
          </w:rPr>
          <w:t xml:space="preserve">History of the Statistical Classification of Diseases</w:t>
        </w:r>
      </w:hyperlink>
      <w:hyperlink r:id="rId21">
        <w:r>
          <w:rPr>
            <w:rStyle w:val="Hyperlink"/>
          </w:rPr>
          <w:t xml:space="preserve">and</w:t>
        </w:r>
      </w:hyperlink>
      <w:hyperlink r:id="rId20">
        <w:r>
          <w:rPr>
            <w:rStyle w:val="Hyperlink"/>
          </w:rPr>
          <w:t xml:space="preserve">Causes of Death</w:t>
        </w:r>
      </w:hyperlink>
    </w:p>
    <w:p>
      <w:pPr>
        <w:pStyle w:val="FirstParagraph"/>
      </w:pPr>
      <w:r>
        <w:rPr>
          <w:b/>
          <w:bCs/>
        </w:rPr>
        <w:t xml:space="preserve">Recommended practice:</w:t>
      </w:r>
    </w:p>
    <w:p>
      <w:pPr>
        <w:pStyle w:val="Compact"/>
        <w:numPr>
          <w:ilvl w:val="0"/>
          <w:numId w:val="1003"/>
        </w:numPr>
      </w:pPr>
      <w:hyperlink r:id="rId22">
        <w:r>
          <w:rPr>
            <w:rStyle w:val="Hyperlink"/>
          </w:rPr>
          <w:t xml:space="preserve">Regular expressins</w:t>
        </w:r>
      </w:hyperlink>
      <w:r>
        <w:t xml:space="preserve">: But please not that this is general practice and deviations may exist between those exercises and R.</w:t>
      </w:r>
    </w:p>
    <w:bookmarkEnd w:id="23"/>
    <w:bookmarkStart w:id="24" w:name="overview"/>
    <w:p>
      <w:pPr>
        <w:pStyle w:val="Heading2"/>
      </w:pPr>
      <w:r>
        <w:t xml:space="preserve">Overview</w:t>
      </w:r>
    </w:p>
    <w:p>
      <w:pPr>
        <w:pStyle w:val="Compact"/>
        <w:numPr>
          <w:ilvl w:val="0"/>
          <w:numId w:val="1004"/>
        </w:numPr>
      </w:pPr>
      <w:r>
        <w:t xml:space="preserve">Standardized vocabularies, controlled vocabularies, terminologies and ontologies …</w:t>
      </w:r>
    </w:p>
    <w:p>
      <w:pPr>
        <w:pStyle w:val="Compact"/>
        <w:numPr>
          <w:ilvl w:val="0"/>
          <w:numId w:val="1004"/>
        </w:numPr>
      </w:pPr>
      <w:r>
        <w:t xml:space="preserve">This is a field of its own (health informatics)</w:t>
      </w:r>
    </w:p>
    <w:p>
      <w:pPr>
        <w:pStyle w:val="Compact"/>
        <w:numPr>
          <w:ilvl w:val="0"/>
          <w:numId w:val="1004"/>
        </w:numPr>
      </w:pPr>
      <w:r>
        <w:t xml:space="preserve">Let’s just call it</w:t>
      </w:r>
      <w:r>
        <w:t xml:space="preserve"> </w:t>
      </w:r>
      <w:r>
        <w:t xml:space="preserve">“medical coding”</w:t>
      </w:r>
      <w:r>
        <w:t xml:space="preserve"> </w:t>
      </w:r>
      <w:r>
        <w:t xml:space="preserve">for now.</w:t>
      </w:r>
    </w:p>
    <w:bookmarkEnd w:id="24"/>
    <w:bookmarkStart w:id="25" w:name="relevance"/>
    <w:p>
      <w:pPr>
        <w:pStyle w:val="Heading2"/>
      </w:pPr>
      <w:r>
        <w:t xml:space="preserve">Relevance</w:t>
      </w:r>
    </w:p>
    <w:p>
      <w:pPr>
        <w:pStyle w:val="Compact"/>
        <w:numPr>
          <w:ilvl w:val="0"/>
          <w:numId w:val="1005"/>
        </w:numPr>
      </w:pPr>
      <w:r>
        <w:t xml:space="preserve">Imaganine you are diagnosed with</w:t>
      </w:r>
      <w:r>
        <w:t xml:space="preserve"> </w:t>
      </w:r>
      <w:r>
        <w:t xml:space="preserve">“cancer”</w:t>
      </w:r>
      <w:r>
        <w:t xml:space="preserve"> </w:t>
      </w:r>
      <w:r>
        <w:t xml:space="preserve">(hope not …)</w:t>
      </w:r>
    </w:p>
    <w:p>
      <w:pPr>
        <w:pStyle w:val="Compact"/>
        <w:numPr>
          <w:ilvl w:val="0"/>
          <w:numId w:val="1005"/>
        </w:numPr>
      </w:pPr>
      <w:r>
        <w:t xml:space="preserve">Your doctor writes that you have</w:t>
      </w:r>
      <w:r>
        <w:t xml:space="preserve"> </w:t>
      </w:r>
      <w:r>
        <w:t xml:space="preserve">“kräfta”</w:t>
      </w:r>
      <w:r>
        <w:t xml:space="preserve"> </w:t>
      </w:r>
      <w:r>
        <w:t xml:space="preserve">in your medical records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“kräfta”</w:t>
      </w:r>
      <w:r>
        <w:t xml:space="preserve"> </w:t>
      </w:r>
      <w:r>
        <w:t xml:space="preserve">(Swedish) =</w:t>
      </w:r>
      <w:r>
        <w:t xml:space="preserve"> </w:t>
      </w:r>
      <w:r>
        <w:rPr>
          <w:b/>
          <w:bCs/>
        </w:rPr>
        <w:t xml:space="preserve">cancer</w:t>
      </w:r>
      <w:r>
        <w:t xml:space="preserve"> </w:t>
      </w:r>
      <w:r>
        <w:t xml:space="preserve">(latin), although the astrological sign</w:t>
      </w:r>
      <w:r>
        <w:t xml:space="preserve"> </w:t>
      </w:r>
      <w:r>
        <w:t xml:space="preserve">“cancer”</w:t>
      </w:r>
      <w:r>
        <w:t xml:space="preserve"> </w:t>
      </w:r>
      <w:r>
        <w:t xml:space="preserve">is a</w:t>
      </w:r>
      <w:r>
        <w:t xml:space="preserve"> </w:t>
      </w:r>
      <w:r>
        <w:t xml:space="preserve">“crab”</w:t>
      </w:r>
      <w:r>
        <w:t xml:space="preserve"> </w:t>
      </w:r>
      <w:r>
        <w:t xml:space="preserve">(latin does not distinguish the two)</w:t>
      </w:r>
    </w:p>
    <w:p>
      <w:pPr>
        <w:pStyle w:val="Compact"/>
        <w:numPr>
          <w:ilvl w:val="0"/>
          <w:numId w:val="1005"/>
        </w:numPr>
      </w:pPr>
      <w:r>
        <w:t xml:space="preserve">She might as well write:</w:t>
      </w:r>
    </w:p>
    <w:p>
      <w:pPr>
        <w:pStyle w:val="Compact"/>
        <w:numPr>
          <w:ilvl w:val="1"/>
          <w:numId w:val="1007"/>
        </w:numPr>
      </w:pPr>
      <w:r>
        <w:t xml:space="preserve">The patient was diagnosed with a</w:t>
      </w:r>
      <w:r>
        <w:t xml:space="preserve"> </w:t>
      </w:r>
      <w:r>
        <w:rPr>
          <w:b/>
          <w:bCs/>
        </w:rPr>
        <w:t xml:space="preserve">malignant neoplasm</w:t>
      </w:r>
      <w:r>
        <w:t xml:space="preserve"> </w:t>
      </w:r>
      <w:r>
        <w:t xml:space="preserve">of the colon.</w:t>
      </w:r>
    </w:p>
    <w:p>
      <w:pPr>
        <w:pStyle w:val="Compact"/>
        <w:numPr>
          <w:ilvl w:val="1"/>
          <w:numId w:val="1007"/>
        </w:numPr>
      </w:pPr>
      <w:r>
        <w:t xml:space="preserve">Histology confirms</w:t>
      </w:r>
      <w:r>
        <w:t xml:space="preserve"> </w:t>
      </w:r>
      <w:r>
        <w:rPr>
          <w:b/>
          <w:bCs/>
        </w:rPr>
        <w:t xml:space="preserve">invasive adenocarcinoma</w:t>
      </w:r>
      <w:r>
        <w:t xml:space="preserve">.</w:t>
      </w:r>
    </w:p>
    <w:p>
      <w:pPr>
        <w:pStyle w:val="Compact"/>
        <w:numPr>
          <w:ilvl w:val="1"/>
          <w:numId w:val="1007"/>
        </w:numPr>
      </w:pPr>
      <w:r>
        <w:t xml:space="preserve">Evidence of</w:t>
      </w:r>
      <w:r>
        <w:t xml:space="preserve"> </w:t>
      </w:r>
      <w:r>
        <w:rPr>
          <w:b/>
          <w:bCs/>
        </w:rPr>
        <w:t xml:space="preserve">metastatic disease</w:t>
      </w:r>
      <w:r>
        <w:t xml:space="preserve"> </w:t>
      </w:r>
      <w:r>
        <w:t xml:space="preserve">to the liver.</w:t>
      </w:r>
    </w:p>
    <w:p>
      <w:pPr>
        <w:pStyle w:val="Compact"/>
        <w:numPr>
          <w:ilvl w:val="0"/>
          <w:numId w:val="1005"/>
        </w:numPr>
      </w:pPr>
      <w:r>
        <w:t xml:space="preserve">Natural languages (English/Swedish/Latin etc) are not well suited for statistical analysis</w:t>
      </w:r>
    </w:p>
    <w:p>
      <w:pPr>
        <w:pStyle w:val="Compact"/>
        <w:numPr>
          <w:ilvl w:val="1"/>
          <w:numId w:val="1008"/>
        </w:numPr>
      </w:pPr>
      <w:r>
        <w:t xml:space="preserve">Natural language processing (NLP) is nice but outside the scope of the course</w:t>
      </w:r>
    </w:p>
    <w:p>
      <w:pPr>
        <w:pStyle w:val="Compact"/>
        <w:numPr>
          <w:ilvl w:val="0"/>
          <w:numId w:val="1005"/>
        </w:numPr>
      </w:pPr>
      <w:r>
        <w:t xml:space="preserve">Statisticians need clear definitions of diagnoses, procedures, medications etc.</w:t>
      </w:r>
    </w:p>
    <w:p>
      <w:pPr>
        <w:pStyle w:val="Compact"/>
        <w:numPr>
          <w:ilvl w:val="0"/>
          <w:numId w:val="1005"/>
        </w:numPr>
      </w:pPr>
      <w:r>
        <w:t xml:space="preserve">Therefore, such information is encoded in a standardized way</w:t>
      </w:r>
    </w:p>
    <w:bookmarkEnd w:id="25"/>
    <w:bookmarkStart w:id="27" w:name="granularityreliability"/>
    <w:p>
      <w:pPr>
        <w:pStyle w:val="Heading2"/>
      </w:pPr>
      <w:r>
        <w:t xml:space="preserve">Granularity/reliability</w:t>
      </w:r>
    </w:p>
    <w:p>
      <w:pPr>
        <w:pStyle w:val="Compact"/>
        <w:numPr>
          <w:ilvl w:val="0"/>
          <w:numId w:val="1009"/>
        </w:numPr>
      </w:pPr>
      <w:r>
        <w:t xml:space="preserve">Cancer might be coded by an ICD-10 code (International Classificatin of Diseases v. 10) as</w:t>
      </w:r>
      <w:r>
        <w:t xml:space="preserve"> </w:t>
      </w:r>
      <w:r>
        <w:t xml:space="preserve">“C”</w:t>
      </w:r>
      <w:r>
        <w:t xml:space="preserve"> </w:t>
      </w:r>
      <w:r>
        <w:t xml:space="preserve">(or possibly</w:t>
      </w:r>
      <w:r>
        <w:t xml:space="preserve"> </w:t>
      </w:r>
      <w:r>
        <w:t xml:space="preserve">“D”</w:t>
      </w:r>
      <w:r>
        <w:t xml:space="preserve">)</w:t>
      </w:r>
    </w:p>
    <w:p>
      <w:pPr>
        <w:pStyle w:val="Compact"/>
        <w:numPr>
          <w:ilvl w:val="0"/>
          <w:numId w:val="1009"/>
        </w:numPr>
      </w:pPr>
      <w:r>
        <w:t xml:space="preserve">Cancer, however, is a very general term. Is it lung cancer, brain cancer, skin cancer etc (those are very different)</w:t>
      </w:r>
    </w:p>
    <w:p>
      <w:pPr>
        <w:pStyle w:val="Compact"/>
        <w:numPr>
          <w:ilvl w:val="0"/>
          <w:numId w:val="1009"/>
        </w:numPr>
      </w:pPr>
      <w:r>
        <w:t xml:space="preserve">The more we learn about a diseases, the more granularity we expect from the coding</w:t>
      </w:r>
    </w:p>
    <w:p>
      <w:pPr>
        <w:pStyle w:val="Compact"/>
        <w:numPr>
          <w:ilvl w:val="0"/>
          <w:numId w:val="1009"/>
        </w:numPr>
      </w:pPr>
      <w:r>
        <w:t xml:space="preserve">The coding systems therefore tend to be quite complex, evolve over time and often have regional differences</w:t>
      </w:r>
    </w:p>
    <w:p>
      <w:pPr>
        <w:pStyle w:val="Compact"/>
        <w:numPr>
          <w:ilvl w:val="0"/>
          <w:numId w:val="1009"/>
        </w:numPr>
      </w:pPr>
      <w:r>
        <w:t xml:space="preserve">Even though the intention of the coding system might be granular and precise, the data quality often relies on different coding practices in different hospitals etc.</w:t>
      </w:r>
    </w:p>
    <w:p>
      <w:pPr>
        <w:pStyle w:val="Compact"/>
        <w:numPr>
          <w:ilvl w:val="0"/>
          <w:numId w:val="1009"/>
        </w:numPr>
      </w:pPr>
      <w:r>
        <w:t xml:space="preserve">The codes might also be misused for re-imbursment practices</w:t>
      </w:r>
    </w:p>
    <w:p>
      <w:pPr>
        <w:pStyle w:val="Compact"/>
        <w:numPr>
          <w:ilvl w:val="1"/>
          <w:numId w:val="1010"/>
        </w:numPr>
      </w:pPr>
      <w:r>
        <w:t xml:space="preserve">There was a regional scandal in Western Sweden not so many years ago (</w:t>
      </w:r>
      <w:hyperlink r:id="rId26">
        <w:r>
          <w:rPr>
            <w:rStyle w:val="Hyperlink"/>
          </w:rPr>
          <w:t xml:space="preserve">you may read about int in Swedish</w:t>
        </w:r>
      </w:hyperlink>
      <w:r>
        <w:t xml:space="preserve">)</w:t>
      </w:r>
    </w:p>
    <w:p>
      <w:pPr>
        <w:pStyle w:val="Compact"/>
        <w:numPr>
          <w:ilvl w:val="0"/>
          <w:numId w:val="1009"/>
        </w:numPr>
      </w:pPr>
      <w:r>
        <w:t xml:space="preserve">In practice, the medical doctor might dictate a diagnosis, which then needs to be translated to a code by administrative staff</w:t>
      </w:r>
    </w:p>
    <w:bookmarkEnd w:id="27"/>
    <w:bookmarkStart w:id="28" w:name="example"/>
    <w:p>
      <w:pPr>
        <w:pStyle w:val="Heading2"/>
      </w:pPr>
      <w:r>
        <w:t xml:space="preserve">Example</w:t>
      </w:r>
    </w:p>
    <w:p>
      <w:pPr>
        <w:pStyle w:val="Compact"/>
        <w:numPr>
          <w:ilvl w:val="0"/>
          <w:numId w:val="1011"/>
        </w:numPr>
      </w:pPr>
      <w:r>
        <w:t xml:space="preserve">The Swedish Hip Arthroplasty Register identified that one hospital appeared to have an unusually high number of patients recorded with severe respiratory problems</w:t>
      </w:r>
    </w:p>
    <w:p>
      <w:pPr>
        <w:pStyle w:val="Compact"/>
        <w:numPr>
          <w:ilvl w:val="0"/>
          <w:numId w:val="1011"/>
        </w:numPr>
      </w:pPr>
      <w:r>
        <w:t xml:space="preserve">At first glance, this raised a clinical question: could hip problems somehow lead to serious breathing problems?</w:t>
      </w:r>
    </w:p>
    <w:p>
      <w:pPr>
        <w:pStyle w:val="Compact"/>
        <w:numPr>
          <w:ilvl w:val="0"/>
          <w:numId w:val="1011"/>
        </w:numPr>
      </w:pPr>
      <w:r>
        <w:t xml:space="preserve">However, hip surgery is often performed under general anesthesia. During general anesthesia, patients are intubated and mechanically ventilated, which involves procedures related to the respiratory system.</w:t>
      </w:r>
    </w:p>
    <w:p>
      <w:pPr>
        <w:pStyle w:val="Compact"/>
        <w:numPr>
          <w:ilvl w:val="0"/>
          <w:numId w:val="1011"/>
        </w:numPr>
      </w:pPr>
      <w:r>
        <w:t xml:space="preserve">It was eventually discovered that a procedural code related to anesthesia and airway management had been incorrectly registered as a severe respiratory diagnosis.</w:t>
      </w:r>
    </w:p>
    <w:p>
      <w:pPr>
        <w:pStyle w:val="Compact"/>
        <w:numPr>
          <w:ilvl w:val="0"/>
          <w:numId w:val="1011"/>
        </w:numPr>
      </w:pPr>
      <w:r>
        <w:t xml:space="preserve">The apparent</w:t>
      </w:r>
      <w:r>
        <w:t xml:space="preserve"> </w:t>
      </w:r>
      <w:r>
        <w:t xml:space="preserve">“complication”</w:t>
      </w:r>
      <w:r>
        <w:t xml:space="preserve"> </w:t>
      </w:r>
      <w:r>
        <w:t xml:space="preserve">was therefore not a real clinical problem, but a coding error.</w:t>
      </w:r>
    </w:p>
    <w:p>
      <w:pPr>
        <w:pStyle w:val="FirstParagraph"/>
      </w:pPr>
      <w:r>
        <w:rPr>
          <w:b/>
          <w:bCs/>
        </w:rPr>
        <w:t xml:space="preserve">Lesson:</w:t>
      </w:r>
      <w:r>
        <w:t xml:space="preserve"> </w:t>
      </w:r>
      <w:r>
        <w:t xml:space="preserve">Register data reflect coding practices. Without understanding how variables are defined and recorded, one may draw incorrect conclusions.</w:t>
      </w:r>
    </w:p>
    <w:bookmarkEnd w:id="28"/>
    <w:bookmarkStart w:id="29" w:name="X677b3cfbe6245edec760c3d9bae235d1254926d"/>
    <w:p>
      <w:pPr>
        <w:pStyle w:val="Heading2"/>
      </w:pPr>
      <w:r>
        <w:t xml:space="preserve">ICD – International Classification of Diseases</w:t>
      </w:r>
    </w:p>
    <w:p>
      <w:pPr>
        <w:pStyle w:val="Compact"/>
        <w:numPr>
          <w:ilvl w:val="0"/>
          <w:numId w:val="1012"/>
        </w:numPr>
      </w:pPr>
      <w:r>
        <w:t xml:space="preserve">Maintained by the World Health Organization (WHO)</w:t>
      </w:r>
    </w:p>
    <w:p>
      <w:pPr>
        <w:pStyle w:val="Compact"/>
        <w:numPr>
          <w:ilvl w:val="0"/>
          <w:numId w:val="1012"/>
        </w:numPr>
      </w:pPr>
      <w:r>
        <w:t xml:space="preserve">Global standard for coding diseases and causes of death</w:t>
      </w:r>
    </w:p>
    <w:p>
      <w:pPr>
        <w:pStyle w:val="Compact"/>
        <w:numPr>
          <w:ilvl w:val="0"/>
          <w:numId w:val="1012"/>
        </w:numPr>
      </w:pPr>
      <w:r>
        <w:t xml:space="preserve">Used for:</w:t>
      </w:r>
    </w:p>
    <w:p>
      <w:pPr>
        <w:pStyle w:val="Compact"/>
        <w:numPr>
          <w:ilvl w:val="1"/>
          <w:numId w:val="1013"/>
        </w:numPr>
      </w:pPr>
      <w:r>
        <w:t xml:space="preserve">Clinical documentation</w:t>
      </w:r>
    </w:p>
    <w:p>
      <w:pPr>
        <w:pStyle w:val="Compact"/>
        <w:numPr>
          <w:ilvl w:val="1"/>
          <w:numId w:val="1013"/>
        </w:numPr>
      </w:pPr>
      <w:r>
        <w:t xml:space="preserve">Mortality statistics</w:t>
      </w:r>
    </w:p>
    <w:p>
      <w:pPr>
        <w:pStyle w:val="Compact"/>
        <w:numPr>
          <w:ilvl w:val="1"/>
          <w:numId w:val="1013"/>
        </w:numPr>
      </w:pPr>
      <w:r>
        <w:t xml:space="preserve">Epidemiological research</w:t>
      </w:r>
    </w:p>
    <w:p>
      <w:pPr>
        <w:pStyle w:val="Compact"/>
        <w:numPr>
          <w:ilvl w:val="1"/>
          <w:numId w:val="1013"/>
        </w:numPr>
      </w:pPr>
      <w:r>
        <w:t xml:space="preserve">Health system planning and monitoring</w:t>
      </w:r>
    </w:p>
    <w:bookmarkEnd w:id="29"/>
    <w:bookmarkStart w:id="30" w:name="historical-background"/>
    <w:p>
      <w:pPr>
        <w:pStyle w:val="Heading2"/>
      </w:pPr>
      <w:r>
        <w:t xml:space="preserve">Historical Background</w:t>
      </w:r>
    </w:p>
    <w:p>
      <w:pPr>
        <w:pStyle w:val="Compact"/>
        <w:numPr>
          <w:ilvl w:val="0"/>
          <w:numId w:val="1014"/>
        </w:numPr>
      </w:pPr>
      <w:r>
        <w:t xml:space="preserve">First version: 1893 (International List of Causes of Death)</w:t>
      </w:r>
    </w:p>
    <w:p>
      <w:pPr>
        <w:pStyle w:val="Compact"/>
        <w:numPr>
          <w:ilvl w:val="0"/>
          <w:numId w:val="1014"/>
        </w:numPr>
      </w:pPr>
      <w:r>
        <w:t xml:space="preserve">WHO assumed responsibility in 1948 (ICD-6)</w:t>
      </w:r>
    </w:p>
    <w:p>
      <w:pPr>
        <w:pStyle w:val="Compact"/>
        <w:numPr>
          <w:ilvl w:val="0"/>
          <w:numId w:val="1014"/>
        </w:numPr>
      </w:pPr>
      <w:r>
        <w:t xml:space="preserve">Major revisions approximately every 10–20 years</w:t>
      </w:r>
    </w:p>
    <w:p>
      <w:pPr>
        <w:pStyle w:val="Compact"/>
        <w:numPr>
          <w:ilvl w:val="0"/>
          <w:numId w:val="1014"/>
        </w:numPr>
      </w:pPr>
      <w:r>
        <w:t xml:space="preserve">Each revision reflects:</w:t>
      </w:r>
    </w:p>
    <w:p>
      <w:pPr>
        <w:pStyle w:val="Compact"/>
        <w:numPr>
          <w:ilvl w:val="1"/>
          <w:numId w:val="1015"/>
        </w:numPr>
      </w:pPr>
      <w:r>
        <w:t xml:space="preserve">Advances in medical knowledge</w:t>
      </w:r>
    </w:p>
    <w:p>
      <w:pPr>
        <w:pStyle w:val="Compact"/>
        <w:numPr>
          <w:ilvl w:val="1"/>
          <w:numId w:val="1015"/>
        </w:numPr>
      </w:pPr>
      <w:r>
        <w:t xml:space="preserve">Changes in disease concepts</w:t>
      </w:r>
    </w:p>
    <w:p>
      <w:pPr>
        <w:pStyle w:val="Compact"/>
        <w:numPr>
          <w:ilvl w:val="1"/>
          <w:numId w:val="1015"/>
        </w:numPr>
      </w:pPr>
      <w:r>
        <w:t xml:space="preserve">Administrative and reporting needs</w:t>
      </w:r>
    </w:p>
    <w:p>
      <w:pPr>
        <w:pStyle w:val="FirstParagraph"/>
      </w:pPr>
      <w:r>
        <w:t xml:space="preserve">ICD has evolved from a mortality list to a comprehensive disease classification.</w:t>
      </w:r>
    </w:p>
    <w:bookmarkEnd w:id="30"/>
    <w:bookmarkStart w:id="31" w:name="major-icd-versions"/>
    <w:p>
      <w:pPr>
        <w:pStyle w:val="Heading2"/>
      </w:pPr>
      <w:r>
        <w:t xml:space="preserve">Major ICD Versions</w:t>
      </w:r>
    </w:p>
    <w:p>
      <w:pPr>
        <w:pStyle w:val="Compact"/>
        <w:numPr>
          <w:ilvl w:val="0"/>
          <w:numId w:val="1016"/>
        </w:numPr>
      </w:pPr>
      <w:r>
        <w:t xml:space="preserve">ICD-7 (used in many countries in the 1950s–1970s)</w:t>
      </w:r>
    </w:p>
    <w:p>
      <w:pPr>
        <w:pStyle w:val="Compact"/>
        <w:numPr>
          <w:ilvl w:val="1"/>
          <w:numId w:val="1017"/>
        </w:numPr>
      </w:pPr>
      <w:r>
        <w:t xml:space="preserve">Still used in the Swedish cancer register for backward compability</w:t>
      </w:r>
    </w:p>
    <w:p>
      <w:pPr>
        <w:pStyle w:val="Compact"/>
        <w:numPr>
          <w:ilvl w:val="0"/>
          <w:numId w:val="1016"/>
        </w:numPr>
      </w:pPr>
      <w:r>
        <w:t xml:space="preserve">ICD-8 (used in many countries in the 1960s–1980s)</w:t>
      </w:r>
    </w:p>
    <w:p>
      <w:pPr>
        <w:pStyle w:val="Compact"/>
        <w:numPr>
          <w:ilvl w:val="0"/>
          <w:numId w:val="1016"/>
        </w:numPr>
      </w:pPr>
      <w:r>
        <w:t xml:space="preserve">ICD-9 (widely used until the early 2000s)</w:t>
      </w:r>
    </w:p>
    <w:p>
      <w:pPr>
        <w:pStyle w:val="Compact"/>
        <w:numPr>
          <w:ilvl w:val="1"/>
          <w:numId w:val="1018"/>
        </w:numPr>
      </w:pPr>
      <w:r>
        <w:t xml:space="preserve">Also still used in the Swedish cancer register</w:t>
      </w:r>
    </w:p>
    <w:p>
      <w:pPr>
        <w:pStyle w:val="Compact"/>
        <w:numPr>
          <w:ilvl w:val="0"/>
          <w:numId w:val="1016"/>
        </w:numPr>
      </w:pPr>
      <w:r>
        <w:t xml:space="preserve">ICD-10 (introduced in the 1990s; still dominant in many countries)</w:t>
      </w:r>
    </w:p>
    <w:p>
      <w:pPr>
        <w:pStyle w:val="Compact"/>
        <w:numPr>
          <w:ilvl w:val="1"/>
          <w:numId w:val="1019"/>
        </w:numPr>
      </w:pPr>
      <w:r>
        <w:t xml:space="preserve">From 1997 in Sweden. What we currently most care about</w:t>
      </w:r>
    </w:p>
    <w:p>
      <w:pPr>
        <w:pStyle w:val="Compact"/>
        <w:numPr>
          <w:ilvl w:val="0"/>
          <w:numId w:val="1016"/>
        </w:numPr>
      </w:pPr>
      <w:r>
        <w:t xml:space="preserve">ICD-11 (adopted in 2019; gradually being implemented)</w:t>
      </w:r>
    </w:p>
    <w:p>
      <w:pPr>
        <w:pStyle w:val="FirstParagraph"/>
      </w:pPr>
      <w:r>
        <w:t xml:space="preserve">Different countries adopted versions at different times, creating challenges for international comparisons.</w:t>
      </w:r>
    </w:p>
    <w:bookmarkEnd w:id="31"/>
    <w:bookmarkStart w:id="32" w:name="national-modifications"/>
    <w:p>
      <w:pPr>
        <w:pStyle w:val="Heading2"/>
      </w:pPr>
      <w:r>
        <w:t xml:space="preserve">National Modifications</w:t>
      </w:r>
    </w:p>
    <w:p>
      <w:pPr>
        <w:pStyle w:val="FirstParagraph"/>
      </w:pPr>
      <w:r>
        <w:t xml:space="preserve">Several countries use national adaptations:</w:t>
      </w:r>
    </w:p>
    <w:p>
      <w:pPr>
        <w:pStyle w:val="Compact"/>
        <w:numPr>
          <w:ilvl w:val="0"/>
          <w:numId w:val="1020"/>
        </w:numPr>
      </w:pPr>
      <w:r>
        <w:t xml:space="preserve">ICD-10-CM (USA; Clinical Modification)</w:t>
      </w:r>
    </w:p>
    <w:p>
      <w:pPr>
        <w:pStyle w:val="Compact"/>
        <w:numPr>
          <w:ilvl w:val="0"/>
          <w:numId w:val="1020"/>
        </w:numPr>
      </w:pPr>
      <w:r>
        <w:t xml:space="preserve">ICD-10-CA (Canada)</w:t>
      </w:r>
    </w:p>
    <w:p>
      <w:pPr>
        <w:pStyle w:val="Compact"/>
        <w:numPr>
          <w:ilvl w:val="0"/>
          <w:numId w:val="1020"/>
        </w:numPr>
      </w:pPr>
      <w:r>
        <w:t xml:space="preserve">ICD-10-SE (Sweden)</w:t>
      </w:r>
    </w:p>
    <w:p>
      <w:pPr>
        <w:pStyle w:val="Compact"/>
        <w:numPr>
          <w:ilvl w:val="1"/>
          <w:numId w:val="1021"/>
        </w:numPr>
      </w:pPr>
      <w:r>
        <w:t xml:space="preserve">A fifth position (ignoring the dot) sometimes used for more granularity</w:t>
      </w:r>
    </w:p>
    <w:p>
      <w:pPr>
        <w:pStyle w:val="Compact"/>
        <w:numPr>
          <w:ilvl w:val="1"/>
          <w:numId w:val="1021"/>
        </w:numPr>
      </w:pPr>
      <w:r>
        <w:t xml:space="preserve">ICD-10: S72.0 Fracture of neck of femur</w:t>
      </w:r>
    </w:p>
    <w:p>
      <w:pPr>
        <w:pStyle w:val="Compact"/>
        <w:numPr>
          <w:ilvl w:val="1"/>
          <w:numId w:val="1021"/>
        </w:numPr>
      </w:pPr>
      <w:r>
        <w:t xml:space="preserve">ICD-10-SE: S72.00 Fracture of neck of femur, closed; S72.01 Fracture of neck of femur, open; S72.10 Pertrochanteric fracture, closed; S72.11 Pertrochanteric fracture, open, …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60"/>
        <w:gridCol w:w="1760"/>
        <w:gridCol w:w="2310"/>
        <w:gridCol w:w="20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Feature</w:t>
            </w:r>
          </w:p>
        </w:tc>
        <w:tc>
          <w:tcPr/>
          <w:p>
            <w:pPr>
              <w:pStyle w:val="Compact"/>
            </w:pPr>
            <w:r>
              <w:t xml:space="preserve">WHO ICD-10</w:t>
            </w:r>
          </w:p>
        </w:tc>
        <w:tc>
          <w:tcPr/>
          <w:p>
            <w:pPr>
              <w:pStyle w:val="Compact"/>
            </w:pPr>
            <w:r>
              <w:t xml:space="preserve">ICD-10-SE (Sweden)</w:t>
            </w:r>
          </w:p>
        </w:tc>
        <w:tc>
          <w:tcPr/>
          <w:p>
            <w:pPr>
              <w:pStyle w:val="Compact"/>
            </w:pPr>
            <w:r>
              <w:t xml:space="preserve">ICD-10-CM (USA)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Maintained by</w:t>
            </w:r>
          </w:p>
        </w:tc>
        <w:tc>
          <w:tcPr/>
          <w:p>
            <w:pPr>
              <w:pStyle w:val="Compact"/>
            </w:pPr>
            <w:r>
              <w:t xml:space="preserve">WHO</w:t>
            </w:r>
          </w:p>
        </w:tc>
        <w:tc>
          <w:tcPr/>
          <w:p>
            <w:pPr>
              <w:pStyle w:val="Compact"/>
            </w:pPr>
            <w:r>
              <w:t xml:space="preserve">Swedish National Board of Health and Welfare (Socialstyrelsen)</w:t>
            </w:r>
          </w:p>
        </w:tc>
        <w:tc>
          <w:tcPr/>
          <w:p>
            <w:pPr>
              <w:pStyle w:val="Compact"/>
            </w:pPr>
            <w:r>
              <w:t xml:space="preserve">U.S. National Center for Health Statistics (NCHS)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Primary purpose</w:t>
            </w:r>
          </w:p>
        </w:tc>
        <w:tc>
          <w:tcPr/>
          <w:p>
            <w:pPr>
              <w:pStyle w:val="Compact"/>
            </w:pPr>
            <w:r>
              <w:t xml:space="preserve">Global disease classification</w:t>
            </w:r>
          </w:p>
        </w:tc>
        <w:tc>
          <w:tcPr/>
          <w:p>
            <w:pPr>
              <w:pStyle w:val="Compact"/>
            </w:pPr>
            <w:r>
              <w:t xml:space="preserve">National clinical and statistical reporting</w:t>
            </w:r>
          </w:p>
        </w:tc>
        <w:tc>
          <w:tcPr/>
          <w:p>
            <w:pPr>
              <w:pStyle w:val="Compact"/>
            </w:pPr>
            <w:r>
              <w:t xml:space="preserve">Clinical documentation and reimbursement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Level of detail</w:t>
            </w:r>
          </w:p>
        </w:tc>
        <w:tc>
          <w:tcPr/>
          <w:p>
            <w:pPr>
              <w:pStyle w:val="Compact"/>
            </w:pPr>
            <w:r>
              <w:t xml:space="preserve">Moderate</w:t>
            </w:r>
          </w:p>
        </w:tc>
        <w:tc>
          <w:tcPr/>
          <w:p>
            <w:pPr>
              <w:pStyle w:val="Compact"/>
            </w:pPr>
            <w:r>
              <w:t xml:space="preserve">More detailed than WHO ICD-10</w:t>
            </w:r>
          </w:p>
        </w:tc>
        <w:tc>
          <w:tcPr/>
          <w:p>
            <w:pPr>
              <w:pStyle w:val="Compact"/>
            </w:pPr>
            <w:r>
              <w:t xml:space="preserve">Much more detailed than WHO ICD-10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Additional digits</w:t>
            </w:r>
          </w:p>
        </w:tc>
        <w:tc>
          <w:tcPr/>
          <w:p>
            <w:pPr>
              <w:pStyle w:val="Compact"/>
            </w:pPr>
            <w:r>
              <w:t xml:space="preserve">Typically 3–4 characters</w:t>
            </w:r>
          </w:p>
        </w:tc>
        <w:tc>
          <w:tcPr/>
          <w:p>
            <w:pPr>
              <w:pStyle w:val="Compact"/>
            </w:pPr>
            <w:r>
              <w:t xml:space="preserve">Often includes 5th character extensions</w:t>
            </w:r>
          </w:p>
        </w:tc>
        <w:tc>
          <w:tcPr/>
          <w:p>
            <w:pPr>
              <w:pStyle w:val="Compact"/>
            </w:pPr>
            <w:r>
              <w:t xml:space="preserve">Up to 7 characters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Laterality (right/left)</w:t>
            </w:r>
          </w:p>
        </w:tc>
        <w:tc>
          <w:tcPr/>
          <w:p>
            <w:pPr>
              <w:pStyle w:val="Compact"/>
            </w:pPr>
            <w:r>
              <w:t xml:space="preserve">Usually not specified</w:t>
            </w:r>
          </w:p>
        </w:tc>
        <w:tc>
          <w:tcPr/>
          <w:p>
            <w:pPr>
              <w:pStyle w:val="Compact"/>
            </w:pPr>
            <w:r>
              <w:t xml:space="preserve">Limited</w:t>
            </w:r>
          </w:p>
        </w:tc>
        <w:tc>
          <w:tcPr/>
          <w:p>
            <w:pPr>
              <w:pStyle w:val="Compact"/>
            </w:pPr>
            <w:r>
              <w:t xml:space="preserve">Frequently specified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Encounter type (initial, follow-up, sequela)</w:t>
            </w:r>
          </w:p>
        </w:tc>
        <w:tc>
          <w:tcPr/>
          <w:p>
            <w:pPr>
              <w:pStyle w:val="Compact"/>
            </w:pPr>
            <w:r>
              <w:t xml:space="preserve">Not included</w:t>
            </w:r>
          </w:p>
        </w:tc>
        <w:tc>
          <w:tcPr/>
          <w:p>
            <w:pPr>
              <w:pStyle w:val="Compact"/>
            </w:pPr>
            <w:r>
              <w:t xml:space="preserve">Not included</w:t>
            </w:r>
          </w:p>
        </w:tc>
        <w:tc>
          <w:tcPr/>
          <w:p>
            <w:pPr>
              <w:pStyle w:val="Compact"/>
            </w:pPr>
            <w:r>
              <w:t xml:space="preserve">Explicitly coded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Administrative focus</w:t>
            </w:r>
          </w:p>
        </w:tc>
        <w:tc>
          <w:tcPr/>
          <w:p>
            <w:pPr>
              <w:pStyle w:val="Compact"/>
            </w:pPr>
            <w:r>
              <w:t xml:space="preserve">Epidemiology and mortality statistics</w:t>
            </w:r>
          </w:p>
        </w:tc>
        <w:tc>
          <w:tcPr/>
          <w:p>
            <w:pPr>
              <w:pStyle w:val="Compact"/>
            </w:pPr>
            <w:r>
              <w:t xml:space="preserve">Clinical and national register reporting</w:t>
            </w:r>
          </w:p>
        </w:tc>
        <w:tc>
          <w:tcPr/>
          <w:p>
            <w:pPr>
              <w:pStyle w:val="Compact"/>
            </w:pPr>
            <w:r>
              <w:t xml:space="preserve">Strongly tied to billing and reimbursement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International comparability</w:t>
            </w:r>
          </w:p>
        </w:tc>
        <w:tc>
          <w:tcPr/>
          <w:p>
            <w:pPr>
              <w:pStyle w:val="Compact"/>
            </w:pPr>
            <w:r>
              <w:t xml:space="preserve">High (reference standard)</w:t>
            </w:r>
          </w:p>
        </w:tc>
        <w:tc>
          <w:tcPr/>
          <w:p>
            <w:pPr>
              <w:pStyle w:val="Compact"/>
            </w:pPr>
            <w:r>
              <w:t xml:space="preserve">High within Nordic context, requires mapping internationally</w:t>
            </w:r>
          </w:p>
        </w:tc>
        <w:tc>
          <w:tcPr/>
          <w:p>
            <w:pPr>
              <w:pStyle w:val="Compact"/>
            </w:pPr>
            <w:r>
              <w:t xml:space="preserve">Requires crosswalk to WHO ICD-10 for comparison</w:t>
            </w:r>
          </w:p>
        </w:tc>
      </w:tr>
    </w:tbl>
    <w:bookmarkEnd w:id="32"/>
    <w:bookmarkStart w:id="33" w:name="structure-of-icd-10"/>
    <w:p>
      <w:pPr>
        <w:pStyle w:val="Heading2"/>
      </w:pPr>
      <w:r>
        <w:t xml:space="preserve">Structure of ICD-10</w:t>
      </w:r>
    </w:p>
    <w:p>
      <w:pPr>
        <w:pStyle w:val="FirstParagraph"/>
      </w:pPr>
      <w:r>
        <w:t xml:space="preserve">Typical format:</w:t>
      </w:r>
    </w:p>
    <w:p>
      <w:pPr>
        <w:pStyle w:val="Compact"/>
        <w:numPr>
          <w:ilvl w:val="0"/>
          <w:numId w:val="1022"/>
        </w:numPr>
      </w:pPr>
      <w:r>
        <w:t xml:space="preserve">One letter (chapter)</w:t>
      </w:r>
    </w:p>
    <w:p>
      <w:pPr>
        <w:pStyle w:val="Compact"/>
        <w:numPr>
          <w:ilvl w:val="0"/>
          <w:numId w:val="1022"/>
        </w:numPr>
      </w:pPr>
      <w:r>
        <w:t xml:space="preserve">Two digits (category)</w:t>
      </w:r>
    </w:p>
    <w:p>
      <w:pPr>
        <w:pStyle w:val="Compact"/>
        <w:numPr>
          <w:ilvl w:val="0"/>
          <w:numId w:val="1022"/>
        </w:numPr>
      </w:pPr>
      <w:r>
        <w:t xml:space="preserve">Optional dot</w:t>
      </w:r>
    </w:p>
    <w:p>
      <w:pPr>
        <w:pStyle w:val="Compact"/>
        <w:numPr>
          <w:ilvl w:val="0"/>
          <w:numId w:val="1022"/>
        </w:numPr>
      </w:pPr>
      <w:r>
        <w:t xml:space="preserve">additional digit(s) (subcategory)</w:t>
      </w:r>
    </w:p>
    <w:p>
      <w:pPr>
        <w:pStyle w:val="FirstParagraph"/>
      </w:pPr>
      <w:r>
        <w:t xml:space="preserve">Example: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I21</w:t>
      </w:r>
      <w:r>
        <w:t xml:space="preserve"> </w:t>
      </w:r>
      <w:r>
        <w:t xml:space="preserve">– Acute myocardial infarction (AMI)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I21.0</w:t>
      </w:r>
      <w:r>
        <w:t xml:space="preserve"> </w:t>
      </w:r>
      <w:r>
        <w:t xml:space="preserve">– AMI of anterior wall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I21.9</w:t>
      </w:r>
      <w:r>
        <w:t xml:space="preserve"> </w:t>
      </w:r>
      <w:r>
        <w:t xml:space="preserve">– AMI, unspecified</w:t>
      </w:r>
    </w:p>
    <w:bookmarkEnd w:id="33"/>
    <w:bookmarkStart w:id="34" w:name="hierarchy"/>
    <w:p>
      <w:pPr>
        <w:pStyle w:val="Heading2"/>
      </w:pPr>
      <w:r>
        <w:t xml:space="preserve">Hierarchy</w:t>
      </w:r>
    </w:p>
    <w:p>
      <w:pPr>
        <w:pStyle w:val="Compact"/>
        <w:numPr>
          <w:ilvl w:val="0"/>
          <w:numId w:val="1024"/>
        </w:numPr>
      </w:pPr>
      <w:r>
        <w:t xml:space="preserve">Chapter → Block → Category (3-digit) → Subcategory (4-digit+)</w:t>
      </w:r>
    </w:p>
    <w:p>
      <w:pPr>
        <w:pStyle w:val="FirstParagraph"/>
      </w:pPr>
      <w:r>
        <w:t xml:space="preserve">Researchers must decide:</w:t>
      </w:r>
    </w:p>
    <w:p>
      <w:pPr>
        <w:pStyle w:val="Compact"/>
        <w:numPr>
          <w:ilvl w:val="0"/>
          <w:numId w:val="1025"/>
        </w:numPr>
      </w:pPr>
      <w:r>
        <w:t xml:space="preserve">Analyse at 3-digit level?</w:t>
      </w:r>
    </w:p>
    <w:p>
      <w:pPr>
        <w:pStyle w:val="Compact"/>
        <w:numPr>
          <w:ilvl w:val="0"/>
          <w:numId w:val="1025"/>
        </w:numPr>
      </w:pPr>
      <w:r>
        <w:t xml:space="preserve">Or at more detailed subcategory level?</w:t>
      </w:r>
    </w:p>
    <w:p>
      <w:pPr>
        <w:pStyle w:val="FirstParagraph"/>
      </w:pPr>
      <w:r>
        <w:t xml:space="preserve">There is a trade-off between specificity and statistical power.</w:t>
      </w:r>
    </w:p>
    <w:bookmarkEnd w:id="34"/>
    <w:bookmarkStart w:id="35" w:name="what-does-an-icd-code-represent"/>
    <w:p>
      <w:pPr>
        <w:pStyle w:val="Heading2"/>
      </w:pPr>
      <w:r>
        <w:t xml:space="preserve">What Does an ICD Code Represent?</w:t>
      </w:r>
    </w:p>
    <w:p>
      <w:pPr>
        <w:pStyle w:val="FirstParagraph"/>
      </w:pPr>
      <w:r>
        <w:t xml:space="preserve">An ICD code reflects:</w:t>
      </w:r>
    </w:p>
    <w:p>
      <w:pPr>
        <w:pStyle w:val="Compact"/>
        <w:numPr>
          <w:ilvl w:val="0"/>
          <w:numId w:val="1026"/>
        </w:numPr>
      </w:pPr>
      <w:r>
        <w:t xml:space="preserve">Clinical documentation</w:t>
      </w:r>
    </w:p>
    <w:p>
      <w:pPr>
        <w:pStyle w:val="Compact"/>
        <w:numPr>
          <w:ilvl w:val="0"/>
          <w:numId w:val="1026"/>
        </w:numPr>
      </w:pPr>
      <w:r>
        <w:t xml:space="preserve">Coding rules</w:t>
      </w:r>
    </w:p>
    <w:p>
      <w:pPr>
        <w:pStyle w:val="Compact"/>
        <w:numPr>
          <w:ilvl w:val="0"/>
          <w:numId w:val="1026"/>
        </w:numPr>
      </w:pPr>
      <w:r>
        <w:t xml:space="preserve">Administrative structure</w:t>
      </w:r>
    </w:p>
    <w:p>
      <w:pPr>
        <w:pStyle w:val="Compact"/>
        <w:numPr>
          <w:ilvl w:val="0"/>
          <w:numId w:val="1026"/>
        </w:numPr>
      </w:pPr>
      <w:r>
        <w:t xml:space="preserve">Local practice</w:t>
      </w:r>
    </w:p>
    <w:p>
      <w:pPr>
        <w:pStyle w:val="FirstParagraph"/>
      </w:pPr>
      <w:r>
        <w:t xml:space="preserve">It does not necessarily reflect:</w:t>
      </w:r>
    </w:p>
    <w:p>
      <w:pPr>
        <w:pStyle w:val="Compact"/>
        <w:numPr>
          <w:ilvl w:val="0"/>
          <w:numId w:val="1027"/>
        </w:numPr>
      </w:pPr>
      <w:r>
        <w:t xml:space="preserve">Biological mechanism</w:t>
      </w:r>
    </w:p>
    <w:p>
      <w:pPr>
        <w:pStyle w:val="Compact"/>
        <w:numPr>
          <w:ilvl w:val="0"/>
          <w:numId w:val="1027"/>
        </w:numPr>
      </w:pPr>
      <w:r>
        <w:t xml:space="preserve">Diagnostic certainty</w:t>
      </w:r>
    </w:p>
    <w:p>
      <w:pPr>
        <w:pStyle w:val="Compact"/>
        <w:numPr>
          <w:ilvl w:val="0"/>
          <w:numId w:val="1027"/>
        </w:numPr>
      </w:pPr>
      <w:r>
        <w:t xml:space="preserve">Uniform clinical interpretation</w:t>
      </w:r>
    </w:p>
    <w:p>
      <w:pPr>
        <w:pStyle w:val="FirstParagraph"/>
      </w:pPr>
      <w:r>
        <w:t xml:space="preserve">Register data therefore reflect both medicine and administration.</w:t>
      </w:r>
    </w:p>
    <w:bookmarkEnd w:id="35"/>
    <w:bookmarkStart w:id="36" w:name="changes-over-time"/>
    <w:p>
      <w:pPr>
        <w:pStyle w:val="Heading2"/>
      </w:pPr>
      <w:r>
        <w:t xml:space="preserve">Changes Over Time</w:t>
      </w:r>
    </w:p>
    <w:p>
      <w:pPr>
        <w:pStyle w:val="FirstParagraph"/>
      </w:pPr>
      <w:r>
        <w:t xml:space="preserve">Between ICD versions:</w:t>
      </w:r>
    </w:p>
    <w:p>
      <w:pPr>
        <w:pStyle w:val="Compact"/>
        <w:numPr>
          <w:ilvl w:val="0"/>
          <w:numId w:val="1028"/>
        </w:numPr>
      </w:pPr>
      <w:r>
        <w:t xml:space="preserve">Codes may be split (1-to-many) into more detailed categories (common)</w:t>
      </w:r>
    </w:p>
    <w:p>
      <w:pPr>
        <w:pStyle w:val="Compact"/>
        <w:numPr>
          <w:ilvl w:val="0"/>
          <w:numId w:val="1028"/>
        </w:numPr>
      </w:pPr>
      <w:r>
        <w:t xml:space="preserve">Codes may be merged (many-to-one, although uncommon)</w:t>
      </w:r>
    </w:p>
    <w:p>
      <w:pPr>
        <w:pStyle w:val="Compact"/>
        <w:numPr>
          <w:ilvl w:val="0"/>
          <w:numId w:val="1028"/>
        </w:numPr>
      </w:pPr>
      <w:r>
        <w:t xml:space="preserve">Codes may move between chapters (affects the aggregated chapter counts/incidence/prevalence)</w:t>
      </w:r>
    </w:p>
    <w:p>
      <w:pPr>
        <w:pStyle w:val="Compact"/>
        <w:numPr>
          <w:ilvl w:val="0"/>
          <w:numId w:val="1028"/>
        </w:numPr>
      </w:pPr>
      <w:r>
        <w:t xml:space="preserve">Definitions may change</w:t>
      </w:r>
    </w:p>
    <w:p>
      <w:pPr>
        <w:pStyle w:val="FirstParagraph"/>
      </w:pPr>
      <w:r>
        <w:t xml:space="preserve">Example: A condition classified under one chapter in ICD-9 may appear elsewhere in ICD-10.</w:t>
      </w:r>
    </w:p>
    <w:p>
      <w:pPr>
        <w:pStyle w:val="BodyText"/>
      </w:pPr>
      <w:r>
        <w:t xml:space="preserve">Implication: Observed changes in incidence may reflect coding changes rather than true epidemiology.</w:t>
      </w:r>
    </w:p>
    <w:bookmarkEnd w:id="36"/>
    <w:bookmarkStart w:id="37" w:name="crosswalks-between-versions"/>
    <w:p>
      <w:pPr>
        <w:pStyle w:val="Heading2"/>
      </w:pPr>
      <w:r>
        <w:t xml:space="preserve">Crosswalks Between Versions</w:t>
      </w:r>
    </w:p>
    <w:p>
      <w:pPr>
        <w:pStyle w:val="FirstParagraph"/>
      </w:pPr>
      <w:r>
        <w:t xml:space="preserve">When analyzing long time series:</w:t>
      </w:r>
    </w:p>
    <w:p>
      <w:pPr>
        <w:pStyle w:val="Compact"/>
        <w:numPr>
          <w:ilvl w:val="0"/>
          <w:numId w:val="1029"/>
        </w:numPr>
      </w:pPr>
      <w:r>
        <w:t xml:space="preserve">Mapping tables (</w:t>
      </w:r>
      <w:r>
        <w:t xml:space="preserve">“crosswalks”</w:t>
      </w:r>
      <w:r>
        <w:t xml:space="preserve">) are often used</w:t>
      </w:r>
    </w:p>
    <w:p>
      <w:pPr>
        <w:pStyle w:val="Compact"/>
        <w:numPr>
          <w:ilvl w:val="0"/>
          <w:numId w:val="1029"/>
        </w:numPr>
      </w:pPr>
      <w:r>
        <w:t xml:space="preserve">Mapping may be:</w:t>
      </w:r>
    </w:p>
    <w:p>
      <w:pPr>
        <w:pStyle w:val="Compact"/>
        <w:numPr>
          <w:ilvl w:val="1"/>
          <w:numId w:val="1030"/>
        </w:numPr>
      </w:pPr>
      <w:r>
        <w:t xml:space="preserve">One-to-one</w:t>
      </w:r>
    </w:p>
    <w:p>
      <w:pPr>
        <w:pStyle w:val="Compact"/>
        <w:numPr>
          <w:ilvl w:val="1"/>
          <w:numId w:val="1030"/>
        </w:numPr>
      </w:pPr>
      <w:r>
        <w:t xml:space="preserve">One-to-many</w:t>
      </w:r>
    </w:p>
    <w:p>
      <w:pPr>
        <w:pStyle w:val="Compact"/>
        <w:numPr>
          <w:ilvl w:val="1"/>
          <w:numId w:val="1030"/>
        </w:numPr>
      </w:pPr>
      <w:r>
        <w:t xml:space="preserve">Many-to-one</w:t>
      </w:r>
    </w:p>
    <w:p>
      <w:pPr>
        <w:pStyle w:val="FirstParagraph"/>
      </w:pPr>
      <w:r>
        <w:t xml:space="preserve">Crosswalks are rarely exact. Information loss or ambiguity is common.</w:t>
      </w:r>
    </w:p>
    <w:p>
      <w:pPr>
        <w:pStyle w:val="BodyText"/>
      </w:pPr>
      <w:r>
        <w:t xml:space="preserve">Aggregation to broader diagnostic groups is often necessary.</w:t>
      </w:r>
    </w:p>
    <w:bookmarkEnd w:id="37"/>
    <w:bookmarkStart w:id="38" w:name="crosswalk-patterns-who-icd-9-who-icd-10"/>
    <w:p>
      <w:pPr>
        <w:pStyle w:val="Heading2"/>
      </w:pPr>
      <w:r>
        <w:t xml:space="preserve">Crosswalk Patterns (WHO ICD-9 → WHO ICD-10)</w:t>
      </w:r>
    </w:p>
    <w:p>
      <w:pPr>
        <w:pStyle w:val="FirstParagraph"/>
      </w:pPr>
      <w:r>
        <w:t xml:space="preserve">When mapping between ICD versions, different structural relationships may occur.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52"/>
        <w:gridCol w:w="1952"/>
        <w:gridCol w:w="1952"/>
        <w:gridCol w:w="206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Mapping type</w:t>
            </w:r>
          </w:p>
        </w:tc>
        <w:tc>
          <w:tcPr/>
          <w:p>
            <w:pPr>
              <w:pStyle w:val="Compact"/>
            </w:pPr>
            <w:r>
              <w:t xml:space="preserve">ICD-9 (WHO)</w:t>
            </w:r>
          </w:p>
        </w:tc>
        <w:tc>
          <w:tcPr/>
          <w:p>
            <w:pPr>
              <w:pStyle w:val="Compact"/>
            </w:pPr>
            <w:r>
              <w:t xml:space="preserve">ICD-10 (WHO)</w:t>
            </w:r>
          </w:p>
        </w:tc>
        <w:tc>
          <w:tcPr/>
          <w:p>
            <w:pPr>
              <w:pStyle w:val="Compact"/>
            </w:pPr>
            <w:r>
              <w:t xml:space="preserve">Interpretation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One → Many (Split)</w:t>
            </w:r>
          </w:p>
        </w:tc>
        <w:tc>
          <w:tcPr/>
          <w:p>
            <w:pPr>
              <w:pStyle w:val="Compact"/>
            </w:pPr>
            <w:r>
              <w:t xml:space="preserve">250 – Diabetes mellitus</w:t>
            </w:r>
          </w:p>
        </w:tc>
        <w:tc>
          <w:tcPr/>
          <w:p>
            <w:pPr>
              <w:pStyle w:val="Compact"/>
            </w:pPr>
            <w:r>
              <w:t xml:space="preserve">E10–E14</w:t>
            </w:r>
          </w:p>
        </w:tc>
        <w:tc>
          <w:tcPr/>
          <w:p>
            <w:pPr>
              <w:pStyle w:val="Compact"/>
            </w:pPr>
            <w:r>
              <w:t xml:space="preserve">One broad ICD-9 category split into multiple etiological types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Many → One (Merge)</w:t>
            </w:r>
          </w:p>
        </w:tc>
        <w:tc>
          <w:tcPr/>
          <w:p>
            <w:pPr>
              <w:pStyle w:val="Compact"/>
            </w:pPr>
            <w:r>
              <w:t xml:space="preserve">038 – Septicaemia; 790.7 – Bacteraemia</w:t>
            </w:r>
          </w:p>
        </w:tc>
        <w:tc>
          <w:tcPr/>
          <w:p>
            <w:pPr>
              <w:pStyle w:val="Compact"/>
            </w:pPr>
            <w:r>
              <w:t xml:space="preserve">A41 – Other sepsis</w:t>
            </w:r>
          </w:p>
        </w:tc>
        <w:tc>
          <w:tcPr/>
          <w:p>
            <w:pPr>
              <w:pStyle w:val="Compact"/>
            </w:pPr>
            <w:r>
              <w:t xml:space="preserve">Separate ICD-9 concepts consolidated into broader ICD-10 category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Many ↔ Many (Reorganisation)</w:t>
            </w:r>
          </w:p>
        </w:tc>
        <w:tc>
          <w:tcPr/>
          <w:p>
            <w:pPr>
              <w:pStyle w:val="Compact"/>
            </w:pPr>
            <w:r>
              <w:t xml:space="preserve">296 – Affective psychoses; 300 – Neurotic disorders</w:t>
            </w:r>
          </w:p>
        </w:tc>
        <w:tc>
          <w:tcPr/>
          <w:p>
            <w:pPr>
              <w:pStyle w:val="Compact"/>
            </w:pPr>
            <w:r>
              <w:t xml:space="preserve">F30–F39 (Mood disorders); F40–F48 (Neurotic disorders)</w:t>
            </w:r>
          </w:p>
        </w:tc>
        <w:tc>
          <w:tcPr/>
          <w:p>
            <w:pPr>
              <w:pStyle w:val="Compact"/>
            </w:pPr>
            <w:r>
              <w:t xml:space="preserve">Structural reorganisation and conceptual reclassification across chapters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relocation</w:t>
            </w:r>
          </w:p>
        </w:tc>
        <w:tc>
          <w:tcPr/>
          <w:p>
            <w:pPr>
              <w:pStyle w:val="Compact"/>
            </w:pPr>
            <w:r>
              <w:t xml:space="preserve">011 – Pulmonary tuberculosis</w:t>
            </w:r>
          </w:p>
        </w:tc>
        <w:tc>
          <w:tcPr/>
          <w:p>
            <w:pPr>
              <w:pStyle w:val="Compact"/>
            </w:pPr>
            <w:r>
              <w:t xml:space="preserve">A15 – Respiratory tuberculosis</w:t>
            </w:r>
          </w:p>
        </w:tc>
        <w:tc>
          <w:tcPr/>
          <w:p>
            <w:pPr>
              <w:pStyle w:val="Compact"/>
            </w:pPr>
            <w:r>
              <w:t xml:space="preserve">Infectious diseases reorganised under new chapter structure</w:t>
            </w:r>
          </w:p>
        </w:tc>
      </w:tr>
    </w:tbl>
    <w:bookmarkEnd w:id="38"/>
    <w:bookmarkStart w:id="40" w:name="crosswalk-before-or-after"/>
    <w:p>
      <w:pPr>
        <w:pStyle w:val="Heading2"/>
      </w:pPr>
      <w:r>
        <w:t xml:space="preserve">Crosswalk before or after</w:t>
      </w:r>
    </w:p>
    <w:p>
      <w:pPr>
        <w:pStyle w:val="Compact"/>
        <w:numPr>
          <w:ilvl w:val="0"/>
          <w:numId w:val="1031"/>
        </w:numPr>
      </w:pPr>
      <w:r>
        <w:t xml:space="preserve">The Swedish caner register has an internal</w:t>
      </w:r>
      <w:r>
        <w:t xml:space="preserve"> </w:t>
      </w:r>
      <w:r>
        <w:t xml:space="preserve">“crosswalk”</w:t>
      </w:r>
      <w:r>
        <w:t xml:space="preserve"> </w:t>
      </w:r>
      <w:r>
        <w:t xml:space="preserve">applied uniformly to the register itself</w:t>
      </w:r>
    </w:p>
    <w:p>
      <w:pPr>
        <w:pStyle w:val="Compact"/>
        <w:numPr>
          <w:ilvl w:val="1"/>
          <w:numId w:val="1032"/>
        </w:numPr>
      </w:pPr>
      <w:r>
        <w:t xml:space="preserve">Updated regularly,</w:t>
      </w:r>
      <w:r>
        <w:t xml:space="preserve"> </w:t>
      </w:r>
      <w:hyperlink r:id="rId39">
        <w:r>
          <w:rPr>
            <w:rStyle w:val="Hyperlink"/>
          </w:rPr>
          <w:t xml:space="preserve">2026 version with 360 pages (in Swedish)</w:t>
        </w:r>
      </w:hyperlink>
    </w:p>
    <w:p>
      <w:pPr>
        <w:pStyle w:val="Compact"/>
        <w:numPr>
          <w:ilvl w:val="0"/>
          <w:numId w:val="1031"/>
        </w:numPr>
      </w:pPr>
      <w:r>
        <w:t xml:space="preserve">Other registers typically only records the current version in use</w:t>
      </w:r>
    </w:p>
    <w:p>
      <w:pPr>
        <w:pStyle w:val="Compact"/>
        <w:numPr>
          <w:ilvl w:val="0"/>
          <w:numId w:val="1031"/>
        </w:numPr>
      </w:pPr>
      <w:r>
        <w:t xml:space="preserve">If so, you might perform the crosswalk yourself after receiving the data</w:t>
      </w:r>
    </w:p>
    <w:p>
      <w:pPr>
        <w:pStyle w:val="Compact"/>
        <w:numPr>
          <w:ilvl w:val="1"/>
          <w:numId w:val="1033"/>
        </w:numPr>
      </w:pPr>
      <w:r>
        <w:t xml:space="preserve">Applies if you want to look at longer time trends etc or combine data from different periods</w:t>
      </w:r>
    </w:p>
    <w:bookmarkEnd w:id="40"/>
    <w:bookmarkStart w:id="41" w:name="icd-o"/>
    <w:p>
      <w:pPr>
        <w:pStyle w:val="Heading2"/>
      </w:pPr>
      <w:r>
        <w:t xml:space="preserve">ICD-O</w:t>
      </w:r>
    </w:p>
    <w:p>
      <w:pPr>
        <w:pStyle w:val="FirstParagraph"/>
      </w:pPr>
      <w:r>
        <w:t xml:space="preserve">ICD-O (International Classification of Diseases for Oncology):</w:t>
      </w:r>
    </w:p>
    <w:p>
      <w:pPr>
        <w:pStyle w:val="Compact"/>
        <w:numPr>
          <w:ilvl w:val="0"/>
          <w:numId w:val="1034"/>
        </w:numPr>
      </w:pPr>
      <w:r>
        <w:t xml:space="preserve">Used mainly in cancer registries</w:t>
      </w:r>
    </w:p>
    <w:p>
      <w:pPr>
        <w:pStyle w:val="Compact"/>
        <w:numPr>
          <w:ilvl w:val="0"/>
          <w:numId w:val="1034"/>
        </w:numPr>
      </w:pPr>
      <w:r>
        <w:t xml:space="preserve">Combines:</w:t>
      </w:r>
    </w:p>
    <w:p>
      <w:pPr>
        <w:pStyle w:val="Compact"/>
        <w:numPr>
          <w:ilvl w:val="1"/>
          <w:numId w:val="1035"/>
        </w:numPr>
      </w:pPr>
      <w:r>
        <w:t xml:space="preserve">Topography (tumour site)</w:t>
      </w:r>
    </w:p>
    <w:p>
      <w:pPr>
        <w:pStyle w:val="Compact"/>
        <w:numPr>
          <w:ilvl w:val="1"/>
          <w:numId w:val="1035"/>
        </w:numPr>
      </w:pPr>
      <w:r>
        <w:t xml:space="preserve">Morphology (histology and behaviour)</w:t>
      </w:r>
    </w:p>
    <w:p>
      <w:pPr>
        <w:pStyle w:val="Compact"/>
        <w:numPr>
          <w:ilvl w:val="0"/>
          <w:numId w:val="1034"/>
        </w:numPr>
      </w:pPr>
      <w:r>
        <w:t xml:space="preserve">Current commonly used version: - ICD-O-3</w:t>
      </w:r>
    </w:p>
    <w:p>
      <w:pPr>
        <w:pStyle w:val="Compact"/>
        <w:numPr>
          <w:ilvl w:val="0"/>
          <w:numId w:val="1034"/>
        </w:numPr>
      </w:pPr>
      <w:r>
        <w:t xml:space="preserve">Earlier versions: ICD-O, ICD-O-2</w:t>
      </w:r>
    </w:p>
    <w:p>
      <w:pPr>
        <w:pStyle w:val="Compact"/>
        <w:numPr>
          <w:ilvl w:val="0"/>
          <w:numId w:val="1034"/>
        </w:numPr>
      </w:pPr>
      <w:r>
        <w:t xml:space="preserve">ICD-O is more detailed than ICD-10 for cancer incidence studies.</w:t>
      </w:r>
    </w:p>
    <w:bookmarkEnd w:id="41"/>
    <w:bookmarkStart w:id="48" w:name="relationship-between-icd-10-and-icd-o"/>
    <w:p>
      <w:pPr>
        <w:pStyle w:val="Heading2"/>
      </w:pPr>
      <w:r>
        <w:t xml:space="preserve">Relationship Between ICD-10 and ICD-O</w:t>
      </w:r>
    </w:p>
    <w:p>
      <w:pPr>
        <w:pStyle w:val="Compact"/>
        <w:numPr>
          <w:ilvl w:val="0"/>
          <w:numId w:val="1036"/>
        </w:numPr>
      </w:pPr>
      <w:r>
        <w:t xml:space="preserve">ICD-10 commonly used for mortality and hospital discharge diagnoses</w:t>
      </w:r>
    </w:p>
    <w:p>
      <w:pPr>
        <w:pStyle w:val="Compact"/>
        <w:numPr>
          <w:ilvl w:val="0"/>
          <w:numId w:val="1036"/>
        </w:numPr>
      </w:pPr>
      <w:r>
        <w:t xml:space="preserve">ICD-O primarily used for cancer registry incidence data</w:t>
      </w:r>
    </w:p>
    <w:p>
      <w:pPr>
        <w:pStyle w:val="FirstParagraph"/>
      </w:pPr>
      <w:r>
        <w:t xml:space="preserve">A cancer case may have:</w:t>
      </w:r>
    </w:p>
    <w:p>
      <w:pPr>
        <w:pStyle w:val="Compact"/>
        <w:numPr>
          <w:ilvl w:val="0"/>
          <w:numId w:val="1037"/>
        </w:numPr>
      </w:pPr>
      <w:r>
        <w:t xml:space="preserve">An ICD-10 code in hospital data</w:t>
      </w:r>
    </w:p>
    <w:p>
      <w:pPr>
        <w:pStyle w:val="Compact"/>
        <w:numPr>
          <w:ilvl w:val="0"/>
          <w:numId w:val="1037"/>
        </w:numPr>
      </w:pPr>
      <w:r>
        <w:t xml:space="preserve">An ICD-O morphology and topography code in a cancer registry</w:t>
      </w:r>
    </w:p>
    <w:p>
      <w:pPr>
        <w:pStyle w:val="FirstParagraph"/>
      </w:pPr>
      <w:r>
        <w:t xml:space="preserve">Researchers must understand which system underlies their dataset.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drawing>
          <wp:inline>
            <wp:extent cx="5334000" cy="3710093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images/paste-30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100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drawing>
          <wp:inline>
            <wp:extent cx="5334000" cy="3355827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images/paste-3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558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49" w:name="variation-in-coding"/>
    <w:p>
      <w:pPr>
        <w:pStyle w:val="Heading2"/>
      </w:pPr>
      <w:r>
        <w:t xml:space="preserve">Variation in Coding</w:t>
      </w:r>
    </w:p>
    <w:p>
      <w:pPr>
        <w:pStyle w:val="FirstParagraph"/>
      </w:pPr>
      <w:r>
        <w:t xml:space="preserve">Differences between hospitals or regions may arise due to:</w:t>
      </w:r>
    </w:p>
    <w:p>
      <w:pPr>
        <w:pStyle w:val="Compact"/>
        <w:numPr>
          <w:ilvl w:val="0"/>
          <w:numId w:val="1038"/>
        </w:numPr>
      </w:pPr>
      <w:r>
        <w:t xml:space="preserve">Coding training</w:t>
      </w:r>
    </w:p>
    <w:p>
      <w:pPr>
        <w:pStyle w:val="Compact"/>
        <w:numPr>
          <w:ilvl w:val="1"/>
          <w:numId w:val="1039"/>
        </w:numPr>
      </w:pPr>
      <w:r>
        <w:t xml:space="preserve">A primary health care unit may encounter all possible diagnosis (wide but shallow knowledge) while a very specialized unit might have routines for a very narrow but detailed coding</w:t>
      </w:r>
    </w:p>
    <w:p>
      <w:pPr>
        <w:pStyle w:val="Compact"/>
        <w:numPr>
          <w:ilvl w:val="0"/>
          <w:numId w:val="1038"/>
        </w:numPr>
      </w:pPr>
      <w:r>
        <w:t xml:space="preserve">Local guidelines</w:t>
      </w:r>
    </w:p>
    <w:p>
      <w:pPr>
        <w:pStyle w:val="Compact"/>
        <w:numPr>
          <w:ilvl w:val="1"/>
          <w:numId w:val="1040"/>
        </w:numPr>
      </w:pPr>
      <w:r>
        <w:t xml:space="preserve">Regions are independent in Sweden</w:t>
      </w:r>
    </w:p>
    <w:p>
      <w:pPr>
        <w:pStyle w:val="Compact"/>
        <w:numPr>
          <w:ilvl w:val="0"/>
          <w:numId w:val="1038"/>
        </w:numPr>
      </w:pPr>
      <w:r>
        <w:t xml:space="preserve">Administrative incentives</w:t>
      </w:r>
    </w:p>
    <w:p>
      <w:pPr>
        <w:pStyle w:val="Compact"/>
        <w:numPr>
          <w:ilvl w:val="0"/>
          <w:numId w:val="1038"/>
        </w:numPr>
      </w:pPr>
      <w:r>
        <w:t xml:space="preserve">Reimbursement systems</w:t>
      </w:r>
    </w:p>
    <w:p>
      <w:pPr>
        <w:pStyle w:val="Compact"/>
        <w:numPr>
          <w:ilvl w:val="1"/>
          <w:numId w:val="1041"/>
        </w:numPr>
      </w:pPr>
      <w:r>
        <w:t xml:space="preserve">public and private health care providers may have different incentives</w:t>
      </w:r>
    </w:p>
    <w:p>
      <w:pPr>
        <w:pStyle w:val="Compact"/>
        <w:numPr>
          <w:ilvl w:val="0"/>
          <w:numId w:val="1038"/>
        </w:numPr>
      </w:pPr>
      <w:r>
        <w:t xml:space="preserve">Electronic health record design</w:t>
      </w:r>
    </w:p>
    <w:p>
      <w:pPr>
        <w:pStyle w:val="Compact"/>
        <w:numPr>
          <w:ilvl w:val="1"/>
          <w:numId w:val="1042"/>
        </w:numPr>
      </w:pPr>
      <w:r>
        <w:t xml:space="preserve">National registers often relies on combining multiple different sources</w:t>
      </w:r>
    </w:p>
    <w:p>
      <w:pPr>
        <w:pStyle w:val="Compact"/>
        <w:numPr>
          <w:ilvl w:val="0"/>
          <w:numId w:val="1038"/>
        </w:numPr>
      </w:pPr>
      <w:r>
        <w:t xml:space="preserve">Somatic vs psychiatric care</w:t>
      </w:r>
    </w:p>
    <w:p>
      <w:pPr>
        <w:pStyle w:val="Compact"/>
        <w:numPr>
          <w:ilvl w:val="1"/>
          <w:numId w:val="1043"/>
        </w:numPr>
      </w:pPr>
      <w:r>
        <w:t xml:space="preserve">In psychiatric care, diagnoses may sometimes be recorded with less specificity, potentially due to concerns about stigma or the sensitive nature of certain conditions</w:t>
      </w:r>
    </w:p>
    <w:p>
      <w:pPr>
        <w:pStyle w:val="FirstParagraph"/>
      </w:pPr>
      <w:r>
        <w:t xml:space="preserve">Registers capture both clinical events and coding behaviour.</w:t>
      </w:r>
    </w:p>
    <w:bookmarkEnd w:id="49"/>
    <w:bookmarkStart w:id="50" w:name="validity-of-icd-codes"/>
    <w:p>
      <w:pPr>
        <w:pStyle w:val="Heading2"/>
      </w:pPr>
      <w:r>
        <w:t xml:space="preserve">Validity of ICD Codes</w:t>
      </w:r>
    </w:p>
    <w:p>
      <w:pPr>
        <w:pStyle w:val="FirstParagraph"/>
      </w:pPr>
      <w:r>
        <w:t xml:space="preserve">Important research question:</w:t>
      </w:r>
    </w:p>
    <w:p>
      <w:pPr>
        <w:pStyle w:val="Compact"/>
        <w:numPr>
          <w:ilvl w:val="0"/>
          <w:numId w:val="1044"/>
        </w:numPr>
      </w:pPr>
      <w:r>
        <w:t xml:space="preserve">Does the code correspond to the true disease?</w:t>
      </w:r>
    </w:p>
    <w:p>
      <w:pPr>
        <w:pStyle w:val="FirstParagraph"/>
      </w:pPr>
      <w:r>
        <w:t xml:space="preserve">Validation studies compare ICD codes with a reference standard</w:t>
      </w:r>
      <w:r>
        <w:br/>
      </w:r>
      <w:r>
        <w:t xml:space="preserve">(e.g., chart review, clinical registry, laboratory confirmation).</w:t>
      </w:r>
    </w:p>
    <w:bookmarkEnd w:id="50"/>
    <w:bookmarkStart w:id="51" w:name="key-measures-of-validity"/>
    <w:p>
      <w:pPr>
        <w:pStyle w:val="Heading2"/>
      </w:pPr>
      <w:r>
        <w:t xml:space="preserve">Key Measures of Validity</w:t>
      </w:r>
    </w:p>
    <w:p>
      <w:pPr>
        <w:numPr>
          <w:ilvl w:val="0"/>
          <w:numId w:val="1045"/>
        </w:numPr>
      </w:pPr>
      <w:r>
        <w:rPr>
          <w:b/>
          <w:bCs/>
        </w:rPr>
        <w:t xml:space="preserve">Sensitivity</w:t>
      </w:r>
      <w:r>
        <w:br/>
      </w:r>
      <w:r>
        <w:t xml:space="preserve">Among patients who truly have the disease,</w:t>
      </w:r>
      <w:r>
        <w:br/>
      </w:r>
      <w:r>
        <w:t xml:space="preserve">how many receive the correct ICD code?</w:t>
      </w:r>
      <w:r>
        <w:br/>
      </w:r>
      <w:r>
        <w:t xml:space="preserve">→ Measures undercoding (missed cases).</w:t>
      </w:r>
    </w:p>
    <w:p>
      <w:pPr>
        <w:numPr>
          <w:ilvl w:val="0"/>
          <w:numId w:val="1045"/>
        </w:numPr>
      </w:pPr>
      <w:r>
        <w:rPr>
          <w:b/>
          <w:bCs/>
        </w:rPr>
        <w:t xml:space="preserve">Specificity</w:t>
      </w:r>
      <w:r>
        <w:br/>
      </w:r>
      <w:r>
        <w:t xml:space="preserve">Among patients who do not have the disease,</w:t>
      </w:r>
      <w:r>
        <w:br/>
      </w:r>
      <w:r>
        <w:t xml:space="preserve">how many are correctly not assigned the code?</w:t>
      </w:r>
      <w:r>
        <w:br/>
      </w:r>
      <w:r>
        <w:t xml:space="preserve">→ Measures overcoding (false positives).</w:t>
      </w:r>
    </w:p>
    <w:p>
      <w:pPr>
        <w:numPr>
          <w:ilvl w:val="0"/>
          <w:numId w:val="1045"/>
        </w:numPr>
      </w:pPr>
      <w:r>
        <w:rPr>
          <w:b/>
          <w:bCs/>
        </w:rPr>
        <w:t xml:space="preserve">Positive Predictive Value (PPV)</w:t>
      </w:r>
      <w:r>
        <w:br/>
      </w:r>
      <w:r>
        <w:t xml:space="preserve">Among patients assigned the ICD code,</w:t>
      </w:r>
      <w:r>
        <w:br/>
      </w:r>
      <w:r>
        <w:t xml:space="preserve">how many truly have the disease?</w:t>
      </w:r>
      <w:r>
        <w:br/>
      </w:r>
      <w:r>
        <w:t xml:space="preserve">→ Measures how reliable the code is for identifying true cases.</w:t>
      </w:r>
    </w:p>
    <w:bookmarkEnd w:id="51"/>
    <w:bookmarkStart w:id="52" w:name="conceptual-22-table"/>
    <w:p>
      <w:pPr>
        <w:pStyle w:val="Heading2"/>
      </w:pPr>
      <w:r>
        <w:t xml:space="preserve">Conceptual 2×2 Table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True disease</w:t>
            </w:r>
          </w:p>
        </w:tc>
        <w:tc>
          <w:tcPr/>
          <w:p>
            <w:pPr>
              <w:pStyle w:val="Compact"/>
            </w:pPr>
            <w:r>
              <w:t xml:space="preserve">No disease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ICD code present</w:t>
            </w:r>
          </w:p>
        </w:tc>
        <w:tc>
          <w:tcPr/>
          <w:p>
            <w:pPr>
              <w:pStyle w:val="Compact"/>
            </w:pPr>
            <w:r>
              <w:t xml:space="preserve">True positive</w:t>
            </w:r>
          </w:p>
        </w:tc>
        <w:tc>
          <w:tcPr/>
          <w:p>
            <w:pPr>
              <w:pStyle w:val="Compact"/>
            </w:pPr>
            <w:r>
              <w:t xml:space="preserve">False positive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ICD code absent</w:t>
            </w:r>
          </w:p>
        </w:tc>
        <w:tc>
          <w:tcPr/>
          <w:p>
            <w:pPr>
              <w:pStyle w:val="Compact"/>
            </w:pPr>
            <w:r>
              <w:t xml:space="preserve">False negative</w:t>
            </w:r>
          </w:p>
        </w:tc>
        <w:tc>
          <w:tcPr/>
          <w:p>
            <w:pPr>
              <w:pStyle w:val="Compact"/>
            </w:pPr>
            <w:r>
              <w:t xml:space="preserve">True negative</w:t>
            </w:r>
          </w:p>
        </w:tc>
      </w:tr>
    </w:tbl>
    <w:p>
      <w:pPr>
        <w:pStyle w:val="Compact"/>
        <w:numPr>
          <w:ilvl w:val="0"/>
          <w:numId w:val="1046"/>
        </w:numPr>
      </w:pPr>
      <w:r>
        <w:t xml:space="preserve">Sensitivity = True positives / (True positives + False negatives)</w:t>
      </w:r>
    </w:p>
    <w:p>
      <w:pPr>
        <w:pStyle w:val="Compact"/>
        <w:numPr>
          <w:ilvl w:val="0"/>
          <w:numId w:val="1046"/>
        </w:numPr>
      </w:pPr>
      <w:r>
        <w:t xml:space="preserve">Specificity = True negatives / (True negatives + False positives)</w:t>
      </w:r>
    </w:p>
    <w:p>
      <w:pPr>
        <w:pStyle w:val="Compact"/>
        <w:numPr>
          <w:ilvl w:val="0"/>
          <w:numId w:val="1046"/>
        </w:numPr>
      </w:pPr>
      <w:r>
        <w:t xml:space="preserve">PPV = True positives / (True positives + False positives)</w:t>
      </w:r>
    </w:p>
    <w:bookmarkEnd w:id="52"/>
    <w:bookmarkStart w:id="53" w:name="why-it-matters"/>
    <w:p>
      <w:pPr>
        <w:pStyle w:val="Heading2"/>
      </w:pPr>
      <w:r>
        <w:t xml:space="preserve">Why It Matters</w:t>
      </w:r>
    </w:p>
    <w:p>
      <w:pPr>
        <w:pStyle w:val="FirstParagraph"/>
      </w:pPr>
      <w:r>
        <w:t xml:space="preserve">Low sensitivity → underestimated incidence</w:t>
      </w:r>
      <w:r>
        <w:br/>
      </w:r>
      <w:r>
        <w:t xml:space="preserve">Low PPV → inflated case counts</w:t>
      </w:r>
      <w:r>
        <w:br/>
      </w:r>
      <w:r>
        <w:t xml:space="preserve">Variation in validity may depend on:</w:t>
      </w:r>
    </w:p>
    <w:p>
      <w:pPr>
        <w:pStyle w:val="Compact"/>
        <w:numPr>
          <w:ilvl w:val="0"/>
          <w:numId w:val="1047"/>
        </w:numPr>
      </w:pPr>
      <w:r>
        <w:t xml:space="preserve">Diagnosis (e.g., myocardial infarction vs mild depression)</w:t>
      </w:r>
    </w:p>
    <w:p>
      <w:pPr>
        <w:pStyle w:val="Compact"/>
        <w:numPr>
          <w:ilvl w:val="0"/>
          <w:numId w:val="1047"/>
        </w:numPr>
      </w:pPr>
      <w:r>
        <w:t xml:space="preserve">Care setting (inpatient vs primary care)</w:t>
      </w:r>
    </w:p>
    <w:p>
      <w:pPr>
        <w:pStyle w:val="Compact"/>
        <w:numPr>
          <w:ilvl w:val="0"/>
          <w:numId w:val="1047"/>
        </w:numPr>
      </w:pPr>
      <w:r>
        <w:t xml:space="preserve">Time period (coding changes)</w:t>
      </w:r>
    </w:p>
    <w:p>
      <w:pPr>
        <w:pStyle w:val="Compact"/>
        <w:numPr>
          <w:ilvl w:val="0"/>
          <w:numId w:val="1047"/>
        </w:numPr>
      </w:pPr>
      <w:r>
        <w:t xml:space="preserve">ICD version and national modification</w:t>
      </w:r>
    </w:p>
    <w:p>
      <w:pPr>
        <w:pStyle w:val="FirstParagraph"/>
      </w:pPr>
      <w:r>
        <w:t xml:space="preserve">Not all ICD codes are equally reliable for research.</w:t>
      </w:r>
    </w:p>
    <w:bookmarkEnd w:id="53"/>
    <w:bookmarkStart w:id="54" w:name="practical-implications-for-statisticians"/>
    <w:p>
      <w:pPr>
        <w:pStyle w:val="Heading2"/>
      </w:pPr>
      <w:r>
        <w:t xml:space="preserve">Practical Implications for Statisticians</w:t>
      </w:r>
    </w:p>
    <w:p>
      <w:pPr>
        <w:pStyle w:val="FirstParagraph"/>
      </w:pPr>
      <w:r>
        <w:t xml:space="preserve">Before analysis, always clarify:</w:t>
      </w:r>
    </w:p>
    <w:p>
      <w:pPr>
        <w:pStyle w:val="Compact"/>
        <w:numPr>
          <w:ilvl w:val="0"/>
          <w:numId w:val="1048"/>
        </w:numPr>
      </w:pPr>
      <w:r>
        <w:t xml:space="preserve">Which ICD version?</w:t>
      </w:r>
    </w:p>
    <w:p>
      <w:pPr>
        <w:pStyle w:val="Compact"/>
        <w:numPr>
          <w:ilvl w:val="0"/>
          <w:numId w:val="1048"/>
        </w:numPr>
      </w:pPr>
      <w:r>
        <w:t xml:space="preserve">Which national modification?</w:t>
      </w:r>
    </w:p>
    <w:p>
      <w:pPr>
        <w:pStyle w:val="Compact"/>
        <w:numPr>
          <w:ilvl w:val="0"/>
          <w:numId w:val="1048"/>
        </w:numPr>
      </w:pPr>
      <w:r>
        <w:t xml:space="preserve">Which coding level (3-digit vs 4-digit)?</w:t>
      </w:r>
    </w:p>
    <w:p>
      <w:pPr>
        <w:pStyle w:val="Compact"/>
        <w:numPr>
          <w:ilvl w:val="0"/>
          <w:numId w:val="1048"/>
        </w:numPr>
      </w:pPr>
      <w:r>
        <w:t xml:space="preserve">Has coding practice changed over time?</w:t>
      </w:r>
    </w:p>
    <w:p>
      <w:pPr>
        <w:pStyle w:val="Compact"/>
        <w:numPr>
          <w:ilvl w:val="0"/>
          <w:numId w:val="1048"/>
        </w:numPr>
      </w:pPr>
      <w:r>
        <w:t xml:space="preserve">Are crosswalks required?</w:t>
      </w:r>
    </w:p>
    <w:p>
      <w:pPr>
        <w:pStyle w:val="Compact"/>
        <w:numPr>
          <w:ilvl w:val="0"/>
          <w:numId w:val="1048"/>
        </w:numPr>
      </w:pPr>
      <w:r>
        <w:t xml:space="preserve">Is there validation evidence for the diagnosis?</w:t>
      </w:r>
    </w:p>
    <w:p>
      <w:pPr>
        <w:pStyle w:val="FirstParagraph"/>
      </w:pPr>
      <w:r>
        <w:t xml:space="preserve">ICD is a classification system. It is not identical to clinical truth. Transparent documentation of code selection is essential for reproducible research.</w:t>
      </w:r>
    </w:p>
    <w:bookmarkEnd w:id="54"/>
    <w:bookmarkStart w:id="58" w:name="atc-for-drugs"/>
    <w:p>
      <w:pPr>
        <w:pStyle w:val="Heading2"/>
      </w:pPr>
      <w:r>
        <w:t xml:space="preserve">ATC for drugs</w:t>
      </w:r>
    </w:p>
    <w:p>
      <w:pPr>
        <w:pStyle w:val="Compact"/>
        <w:numPr>
          <w:ilvl w:val="0"/>
          <w:numId w:val="1049"/>
        </w:numPr>
      </w:pPr>
      <w:r>
        <w:t xml:space="preserve">Anatomical Therapeutic Chemical (ATC) classification</w:t>
      </w:r>
    </w:p>
    <w:p>
      <w:pPr>
        <w:pStyle w:val="Compact"/>
        <w:numPr>
          <w:ilvl w:val="0"/>
          <w:numId w:val="1049"/>
        </w:numPr>
      </w:pPr>
      <w:r>
        <w:t xml:space="preserve">categorizing therapeutic drugs,</w:t>
      </w:r>
    </w:p>
    <w:p>
      <w:pPr>
        <w:pStyle w:val="Compact"/>
        <w:numPr>
          <w:ilvl w:val="0"/>
          <w:numId w:val="1049"/>
        </w:numPr>
      </w:pPr>
      <w:r>
        <w:t xml:space="preserve">structured into 14 main groups and 5 levels, with a disease-oriented focus</w:t>
      </w:r>
    </w:p>
    <w:p>
      <w:pPr>
        <w:pStyle w:val="Compact"/>
        <w:numPr>
          <w:ilvl w:val="0"/>
          <w:numId w:val="1049"/>
        </w:numPr>
      </w:pPr>
      <w:r>
        <w:t xml:space="preserve">introduced in the 1960s</w:t>
      </w:r>
    </w:p>
    <w:p>
      <w:pPr>
        <w:pStyle w:val="Compact"/>
        <w:numPr>
          <w:ilvl w:val="0"/>
          <w:numId w:val="1049"/>
        </w:numPr>
      </w:pPr>
      <w:r>
        <w:t xml:space="preserve">In 1980, the World Health Organization (WHO) recommended the ATC system as the</w:t>
      </w:r>
      <w:r>
        <w:t xml:space="preserve"> </w:t>
      </w:r>
      <w:r>
        <w:t xml:space="preserve">“state of the art”</w:t>
      </w:r>
    </w:p>
    <w:p>
      <w:pPr>
        <w:pStyle w:val="Compact"/>
        <w:numPr>
          <w:ilvl w:val="0"/>
          <w:numId w:val="1049"/>
        </w:numPr>
      </w:pPr>
      <w:r>
        <w:t xml:space="preserve">follow a hierarchical structure: 1 letter, 2 digits, 2 letters, 2 digits</w:t>
      </w:r>
    </w:p>
    <w:p>
      <w:pPr>
        <w:pStyle w:val="Compact"/>
        <w:numPr>
          <w:ilvl w:val="1"/>
          <w:numId w:val="1050"/>
        </w:numPr>
      </w:pPr>
      <w:r>
        <w:t xml:space="preserve">Example:</w:t>
      </w:r>
      <w:r>
        <w:t xml:space="preserve"> </w:t>
      </w:r>
      <w:r>
        <w:rPr>
          <w:rStyle w:val="VerbatimChar"/>
        </w:rPr>
        <w:t xml:space="preserve">C09AA05</w:t>
      </w:r>
    </w:p>
    <w:p>
      <w:pPr>
        <w:pStyle w:val="Compact"/>
        <w:numPr>
          <w:ilvl w:val="0"/>
          <w:numId w:val="1049"/>
        </w:numPr>
      </w:pPr>
      <w:r>
        <w:t xml:space="preserve">Several problems exist</w:t>
      </w:r>
      <w:r>
        <w:t xml:space="preserve"> </w:t>
      </w:r>
      <w:r>
        <w:t xml:space="preserve">(Bindel and Seifert 2025)</w:t>
      </w:r>
      <w:r>
        <w:t xml:space="preserve"> </w:t>
      </w:r>
      <w:r>
        <w:t xml:space="preserve">but it is nevertheless widely used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drawing>
          <wp:inline>
            <wp:extent cx="5334000" cy="351041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images/paste-29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10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Start w:id="60" w:name="sweden"/>
    <w:p>
      <w:pPr>
        <w:pStyle w:val="Heading2"/>
      </w:pPr>
      <w:r>
        <w:t xml:space="preserve">Sweden</w:t>
      </w:r>
    </w:p>
    <w:p>
      <w:pPr>
        <w:pStyle w:val="Compact"/>
        <w:numPr>
          <w:ilvl w:val="0"/>
          <w:numId w:val="1051"/>
        </w:numPr>
      </w:pPr>
      <w:r>
        <w:t xml:space="preserve">We have ATC codes in the national prescription register</w:t>
      </w:r>
    </w:p>
    <w:p>
      <w:pPr>
        <w:pStyle w:val="Compact"/>
        <w:numPr>
          <w:ilvl w:val="0"/>
          <w:numId w:val="1051"/>
        </w:numPr>
      </w:pPr>
      <w:r>
        <w:t xml:space="preserve">When a doctor prescribes a medication, the ATC code will follow automatically</w:t>
      </w:r>
    </w:p>
    <w:p>
      <w:pPr>
        <w:pStyle w:val="Compact"/>
        <w:numPr>
          <w:ilvl w:val="0"/>
          <w:numId w:val="1051"/>
        </w:numPr>
      </w:pPr>
      <w:r>
        <w:t xml:space="preserve">Less room for interpretation when coding</w:t>
      </w:r>
    </w:p>
    <w:p>
      <w:pPr>
        <w:pStyle w:val="Compact"/>
        <w:numPr>
          <w:ilvl w:val="0"/>
          <w:numId w:val="1051"/>
        </w:numPr>
      </w:pPr>
      <w:r>
        <w:t xml:space="preserve">New medications are introduced over time</w:t>
      </w:r>
    </w:p>
    <w:p>
      <w:pPr>
        <w:pStyle w:val="Compact"/>
        <w:numPr>
          <w:ilvl w:val="0"/>
          <w:numId w:val="1051"/>
        </w:numPr>
      </w:pPr>
      <w:r>
        <w:t xml:space="preserve">The Swedish Medical Products Agency (MPA; Läkemedelsverket) make such decisions</w:t>
      </w:r>
    </w:p>
    <w:p>
      <w:pPr>
        <w:pStyle w:val="Compact"/>
        <w:numPr>
          <w:ilvl w:val="0"/>
          <w:numId w:val="1051"/>
        </w:numPr>
      </w:pPr>
      <w:r>
        <w:t xml:space="preserve">Daily updates to the</w:t>
      </w:r>
      <w:r>
        <w:t xml:space="preserve"> </w:t>
      </w:r>
      <w:hyperlink r:id="rId59">
        <w:r>
          <w:rPr>
            <w:rStyle w:val="Hyperlink"/>
          </w:rPr>
          <w:t xml:space="preserve">National Substance Register</w:t>
        </w:r>
      </w:hyperlink>
    </w:p>
    <w:bookmarkEnd w:id="60"/>
    <w:bookmarkStart w:id="61" w:name="procedure-codes"/>
    <w:p>
      <w:pPr>
        <w:pStyle w:val="Heading2"/>
      </w:pPr>
      <w:r>
        <w:t xml:space="preserve">Procedure codes</w:t>
      </w:r>
    </w:p>
    <w:p>
      <w:pPr>
        <w:pStyle w:val="Compact"/>
        <w:numPr>
          <w:ilvl w:val="0"/>
          <w:numId w:val="1052"/>
        </w:numPr>
      </w:pPr>
      <w:r>
        <w:t xml:space="preserve">We use ICD for diagnoses and medical condition</w:t>
      </w:r>
    </w:p>
    <w:p>
      <w:pPr>
        <w:pStyle w:val="Compact"/>
        <w:numPr>
          <w:ilvl w:val="0"/>
          <w:numId w:val="1052"/>
        </w:numPr>
      </w:pPr>
      <w:r>
        <w:t xml:space="preserve">But how are patients with such diagnosis treated?</w:t>
      </w:r>
    </w:p>
    <w:p>
      <w:pPr>
        <w:pStyle w:val="Compact"/>
        <w:numPr>
          <w:ilvl w:val="0"/>
          <w:numId w:val="1052"/>
        </w:numPr>
      </w:pPr>
      <w:r>
        <w:t xml:space="preserve">What actions (in addition to the prescription of medicines) do we have?</w:t>
      </w:r>
    </w:p>
    <w:p>
      <w:pPr>
        <w:pStyle w:val="Compact"/>
        <w:numPr>
          <w:ilvl w:val="0"/>
          <w:numId w:val="1052"/>
        </w:numPr>
      </w:pPr>
      <w:r>
        <w:t xml:space="preserve">USA has a special version of ICD for this: ICD-10-PCS</w:t>
      </w:r>
    </w:p>
    <w:p>
      <w:pPr>
        <w:pStyle w:val="Compact"/>
        <w:numPr>
          <w:ilvl w:val="1"/>
          <w:numId w:val="1053"/>
        </w:numPr>
      </w:pPr>
      <w:r>
        <w:t xml:space="preserve">PCS = Procedure Coding System</w:t>
      </w:r>
    </w:p>
    <w:bookmarkEnd w:id="61"/>
    <w:bookmarkStart w:id="62" w:name="nomesco"/>
    <w:p>
      <w:pPr>
        <w:pStyle w:val="Heading2"/>
      </w:pPr>
      <w:r>
        <w:t xml:space="preserve">NOMESCO</w:t>
      </w:r>
    </w:p>
    <w:p>
      <w:pPr>
        <w:pStyle w:val="FirstParagraph"/>
      </w:pPr>
      <w:r>
        <w:t xml:space="preserve">In Sweden, medical procedures are coded using the</w:t>
      </w:r>
      <w:r>
        <w:t xml:space="preserve"> </w:t>
      </w:r>
      <w:r>
        <w:rPr>
          <w:b/>
          <w:bCs/>
        </w:rPr>
        <w:t xml:space="preserve">NOMESCO Classification of Surgical Procedures (NCSP)</w:t>
      </w:r>
      <w:r>
        <w:t xml:space="preserve">.</w:t>
      </w:r>
    </w:p>
    <w:p>
      <w:pPr>
        <w:pStyle w:val="Compact"/>
        <w:numPr>
          <w:ilvl w:val="0"/>
          <w:numId w:val="1054"/>
        </w:numPr>
      </w:pPr>
      <w:r>
        <w:t xml:space="preserve">Developed by the Nordic Medico-Statistical Committee (NOMESCO)</w:t>
      </w:r>
    </w:p>
    <w:p>
      <w:pPr>
        <w:pStyle w:val="Compact"/>
        <w:numPr>
          <w:ilvl w:val="0"/>
          <w:numId w:val="1054"/>
        </w:numPr>
      </w:pPr>
      <w:r>
        <w:t xml:space="preserve">Used in Sweden, Denmark, Finland, Norway, and Iceland</w:t>
      </w:r>
    </w:p>
    <w:p>
      <w:pPr>
        <w:pStyle w:val="Compact"/>
        <w:numPr>
          <w:ilvl w:val="0"/>
          <w:numId w:val="1054"/>
        </w:numPr>
      </w:pPr>
      <w:r>
        <w:t xml:space="preserve">Primarily for on surgical procedures</w:t>
      </w:r>
    </w:p>
    <w:bookmarkEnd w:id="62"/>
    <w:bookmarkStart w:id="63" w:name="kvå"/>
    <w:p>
      <w:pPr>
        <w:pStyle w:val="Heading2"/>
      </w:pPr>
      <w:r>
        <w:t xml:space="preserve">KVÅ</w:t>
      </w:r>
    </w:p>
    <w:p>
      <w:pPr>
        <w:pStyle w:val="Compact"/>
        <w:numPr>
          <w:ilvl w:val="0"/>
          <w:numId w:val="1055"/>
        </w:numPr>
      </w:pPr>
      <w:r>
        <w:t xml:space="preserve">In Sweden implemented through</w:t>
      </w:r>
      <w:r>
        <w:t xml:space="preserve"> </w:t>
      </w:r>
      <w:r>
        <w:rPr>
          <w:b/>
          <w:bCs/>
        </w:rPr>
        <w:t xml:space="preserve">KVÅ</w:t>
      </w:r>
      <w:r>
        <w:t xml:space="preserve"> </w:t>
      </w:r>
      <w:r>
        <w:t xml:space="preserve">(Klassifikation av vårdåtgärder)</w:t>
      </w:r>
    </w:p>
    <w:p>
      <w:pPr>
        <w:pStyle w:val="Compact"/>
        <w:numPr>
          <w:ilvl w:val="0"/>
          <w:numId w:val="1055"/>
        </w:numPr>
      </w:pPr>
      <w:r>
        <w:t xml:space="preserve">Maintained nationally by Socialstyrelsen</w:t>
      </w:r>
    </w:p>
    <w:p>
      <w:pPr>
        <w:pStyle w:val="Compact"/>
        <w:numPr>
          <w:ilvl w:val="0"/>
          <w:numId w:val="1055"/>
        </w:numPr>
      </w:pPr>
      <w:r>
        <w:t xml:space="preserve">Includes the NOMESCO-NCSP codes for surgery</w:t>
      </w:r>
    </w:p>
    <w:p>
      <w:pPr>
        <w:pStyle w:val="Compact"/>
        <w:numPr>
          <w:ilvl w:val="0"/>
          <w:numId w:val="1055"/>
        </w:numPr>
      </w:pPr>
      <w:r>
        <w:t xml:space="preserve">Also includes additional codes for non-surgical treatments and activities</w:t>
      </w:r>
    </w:p>
    <w:p>
      <w:pPr>
        <w:pStyle w:val="Compact"/>
        <w:numPr>
          <w:ilvl w:val="1"/>
          <w:numId w:val="1056"/>
        </w:numPr>
      </w:pPr>
      <w:r>
        <w:t xml:space="preserve">Administration of chemotherapy (cytostatic treatment)</w:t>
      </w:r>
    </w:p>
    <w:p>
      <w:pPr>
        <w:pStyle w:val="Compact"/>
        <w:numPr>
          <w:ilvl w:val="1"/>
          <w:numId w:val="1056"/>
        </w:numPr>
      </w:pPr>
      <w:r>
        <w:t xml:space="preserve">Radiotherapy sessions</w:t>
      </w:r>
    </w:p>
    <w:p>
      <w:pPr>
        <w:pStyle w:val="Compact"/>
        <w:numPr>
          <w:ilvl w:val="1"/>
          <w:numId w:val="1056"/>
        </w:numPr>
      </w:pPr>
      <w:r>
        <w:t xml:space="preserve">Dialysis treatment (hemodialysis, peritoneal dialysis)</w:t>
      </w:r>
    </w:p>
    <w:p>
      <w:pPr>
        <w:pStyle w:val="Compact"/>
        <w:numPr>
          <w:ilvl w:val="1"/>
          <w:numId w:val="1056"/>
        </w:numPr>
      </w:pPr>
      <w:r>
        <w:t xml:space="preserve">Blood transfusion</w:t>
      </w:r>
    </w:p>
    <w:p>
      <w:pPr>
        <w:pStyle w:val="Compact"/>
        <w:numPr>
          <w:ilvl w:val="1"/>
          <w:numId w:val="1056"/>
        </w:numPr>
      </w:pPr>
      <w:r>
        <w:t xml:space="preserve">Vaccination</w:t>
      </w:r>
    </w:p>
    <w:p>
      <w:pPr>
        <w:pStyle w:val="Compact"/>
        <w:numPr>
          <w:ilvl w:val="1"/>
          <w:numId w:val="1056"/>
        </w:numPr>
      </w:pPr>
      <w:r>
        <w:t xml:space="preserve">Advanced wound care (non-surgical)</w:t>
      </w:r>
    </w:p>
    <w:p>
      <w:pPr>
        <w:pStyle w:val="Compact"/>
        <w:numPr>
          <w:ilvl w:val="1"/>
          <w:numId w:val="1056"/>
        </w:numPr>
      </w:pPr>
      <w:r>
        <w:t xml:space="preserve">Multidisciplinary team conference (MDT conference)</w:t>
      </w:r>
    </w:p>
    <w:p>
      <w:pPr>
        <w:pStyle w:val="Compact"/>
        <w:numPr>
          <w:ilvl w:val="1"/>
          <w:numId w:val="1056"/>
        </w:numPr>
      </w:pPr>
      <w:r>
        <w:t xml:space="preserve">Smoking cessation counselling</w:t>
      </w:r>
    </w:p>
    <w:p>
      <w:pPr>
        <w:pStyle w:val="Compact"/>
        <w:numPr>
          <w:ilvl w:val="1"/>
          <w:numId w:val="1056"/>
        </w:numPr>
      </w:pPr>
      <w:r>
        <w:t xml:space="preserve">Nutritional counselling</w:t>
      </w:r>
    </w:p>
    <w:p>
      <w:pPr>
        <w:pStyle w:val="Compact"/>
        <w:numPr>
          <w:ilvl w:val="1"/>
          <w:numId w:val="1056"/>
        </w:numPr>
      </w:pPr>
      <w:r>
        <w:t xml:space="preserve">Physiotherapy interventions</w:t>
      </w:r>
    </w:p>
    <w:p>
      <w:pPr>
        <w:pStyle w:val="Compact"/>
        <w:numPr>
          <w:ilvl w:val="1"/>
          <w:numId w:val="1056"/>
        </w:numPr>
      </w:pPr>
      <w:r>
        <w:t xml:space="preserve">Occupational therapy interventions</w:t>
      </w:r>
    </w:p>
    <w:p>
      <w:pPr>
        <w:pStyle w:val="Compact"/>
        <w:numPr>
          <w:ilvl w:val="1"/>
          <w:numId w:val="1056"/>
        </w:numPr>
      </w:pPr>
      <w:r>
        <w:t xml:space="preserve">Psychotherapeutic treatment sessions</w:t>
      </w:r>
    </w:p>
    <w:p>
      <w:pPr>
        <w:pStyle w:val="Compact"/>
        <w:numPr>
          <w:ilvl w:val="1"/>
          <w:numId w:val="1056"/>
        </w:numPr>
      </w:pPr>
      <w:r>
        <w:t xml:space="preserve">Structured patient education programmes</w:t>
      </w:r>
    </w:p>
    <w:p>
      <w:pPr>
        <w:pStyle w:val="Compact"/>
        <w:numPr>
          <w:ilvl w:val="1"/>
          <w:numId w:val="1056"/>
        </w:numPr>
      </w:pPr>
      <w:r>
        <w:t xml:space="preserve">Palliative care planning</w:t>
      </w:r>
    </w:p>
    <w:bookmarkEnd w:id="63"/>
    <w:bookmarkStart w:id="64" w:name="structure"/>
    <w:p>
      <w:pPr>
        <w:pStyle w:val="Heading2"/>
      </w:pPr>
      <w:r>
        <w:t xml:space="preserve">Structure</w:t>
      </w:r>
    </w:p>
    <w:p>
      <w:pPr>
        <w:pStyle w:val="Compact"/>
        <w:numPr>
          <w:ilvl w:val="0"/>
          <w:numId w:val="1057"/>
        </w:numPr>
      </w:pPr>
      <w:r>
        <w:t xml:space="preserve">Alphanumeric codes (typically 5 characters)</w:t>
      </w:r>
    </w:p>
    <w:p>
      <w:pPr>
        <w:pStyle w:val="Compact"/>
        <w:numPr>
          <w:ilvl w:val="0"/>
          <w:numId w:val="1057"/>
        </w:numPr>
      </w:pPr>
      <w:r>
        <w:t xml:space="preserve">First letter indicates anatomical or procedural group</w:t>
      </w:r>
    </w:p>
    <w:p>
      <w:pPr>
        <w:pStyle w:val="Compact"/>
        <w:numPr>
          <w:ilvl w:val="0"/>
          <w:numId w:val="1057"/>
        </w:numPr>
      </w:pPr>
      <w:r>
        <w:t xml:space="preserve">Subsequent characters specify procedure type and detail</w:t>
      </w:r>
    </w:p>
    <w:p>
      <w:pPr>
        <w:pStyle w:val="FirstParagraph"/>
      </w:pPr>
      <w:r>
        <w:t xml:space="preserve">Example:</w:t>
      </w:r>
    </w:p>
    <w:p>
      <w:pPr>
        <w:pStyle w:val="Compact"/>
        <w:numPr>
          <w:ilvl w:val="0"/>
          <w:numId w:val="1058"/>
        </w:numPr>
      </w:pPr>
      <w:r>
        <w:rPr>
          <w:b/>
          <w:bCs/>
        </w:rPr>
        <w:t xml:space="preserve">NFB49</w:t>
      </w:r>
      <w:r>
        <w:t xml:space="preserve"> </w:t>
      </w:r>
      <w:r>
        <w:t xml:space="preserve">– Primary total hip replacement</w:t>
      </w:r>
    </w:p>
    <w:p>
      <w:pPr>
        <w:pStyle w:val="Compact"/>
        <w:numPr>
          <w:ilvl w:val="0"/>
          <w:numId w:val="1058"/>
        </w:numPr>
      </w:pPr>
      <w:r>
        <w:rPr>
          <w:b/>
          <w:bCs/>
        </w:rPr>
        <w:t xml:space="preserve">JKA20</w:t>
      </w:r>
      <w:r>
        <w:t xml:space="preserve"> </w:t>
      </w:r>
      <w:r>
        <w:t xml:space="preserve">– Appendectomy</w:t>
      </w:r>
    </w:p>
    <w:bookmarkEnd w:id="64"/>
    <w:bookmarkStart w:id="65" w:name="purpose"/>
    <w:p>
      <w:pPr>
        <w:pStyle w:val="Heading2"/>
      </w:pPr>
      <w:r>
        <w:t xml:space="preserve">Purpose</w:t>
      </w:r>
    </w:p>
    <w:p>
      <w:pPr>
        <w:pStyle w:val="Compact"/>
        <w:numPr>
          <w:ilvl w:val="0"/>
          <w:numId w:val="1059"/>
        </w:numPr>
      </w:pPr>
      <w:r>
        <w:t xml:space="preserve">Record surgical and certain non-surgical interventions</w:t>
      </w:r>
    </w:p>
    <w:p>
      <w:pPr>
        <w:pStyle w:val="Compact"/>
        <w:numPr>
          <w:ilvl w:val="0"/>
          <w:numId w:val="1059"/>
        </w:numPr>
      </w:pPr>
      <w:r>
        <w:t xml:space="preserve">Used in:</w:t>
      </w:r>
    </w:p>
    <w:p>
      <w:pPr>
        <w:pStyle w:val="Compact"/>
        <w:numPr>
          <w:ilvl w:val="1"/>
          <w:numId w:val="1060"/>
        </w:numPr>
      </w:pPr>
      <w:r>
        <w:t xml:space="preserve">National Patient Register</w:t>
      </w:r>
    </w:p>
    <w:p>
      <w:pPr>
        <w:pStyle w:val="Compact"/>
        <w:numPr>
          <w:ilvl w:val="1"/>
          <w:numId w:val="1060"/>
        </w:numPr>
      </w:pPr>
      <w:r>
        <w:t xml:space="preserve">Quality registers</w:t>
      </w:r>
    </w:p>
    <w:p>
      <w:pPr>
        <w:pStyle w:val="Compact"/>
        <w:numPr>
          <w:ilvl w:val="1"/>
          <w:numId w:val="1060"/>
        </w:numPr>
      </w:pPr>
      <w:r>
        <w:t xml:space="preserve">Reimbursement and administrative reporting</w:t>
      </w:r>
    </w:p>
    <w:p>
      <w:pPr>
        <w:pStyle w:val="Compact"/>
        <w:numPr>
          <w:ilvl w:val="1"/>
          <w:numId w:val="1060"/>
        </w:numPr>
      </w:pPr>
      <w:r>
        <w:t xml:space="preserve">Health services research</w:t>
      </w:r>
    </w:p>
    <w:bookmarkEnd w:id="65"/>
    <w:bookmarkStart w:id="66" w:name="important-distinction"/>
    <w:p>
      <w:pPr>
        <w:pStyle w:val="Heading2"/>
      </w:pPr>
      <w:r>
        <w:t xml:space="preserve">Important Distinction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ICD-10-SE</w:t>
      </w:r>
      <w:r>
        <w:t xml:space="preserve"> </w:t>
      </w:r>
      <w:r>
        <w:t xml:space="preserve">→ Diagnosis codes</w:t>
      </w:r>
    </w:p>
    <w:p>
      <w:pPr>
        <w:pStyle w:val="Compact"/>
        <w:numPr>
          <w:ilvl w:val="0"/>
          <w:numId w:val="1061"/>
        </w:numPr>
      </w:pPr>
      <w:r>
        <w:rPr>
          <w:b/>
          <w:bCs/>
        </w:rPr>
        <w:t xml:space="preserve">NOMESCO/KVÅ</w:t>
      </w:r>
      <w:r>
        <w:t xml:space="preserve"> </w:t>
      </w:r>
      <w:r>
        <w:t xml:space="preserve">→ Procedure codes</w:t>
      </w:r>
    </w:p>
    <w:p>
      <w:pPr>
        <w:pStyle w:val="FirstParagraph"/>
      </w:pPr>
      <w:r>
        <w:t xml:space="preserve">A patient record may therefore contain:</w:t>
      </w:r>
    </w:p>
    <w:p>
      <w:pPr>
        <w:pStyle w:val="Compact"/>
        <w:numPr>
          <w:ilvl w:val="0"/>
          <w:numId w:val="1062"/>
        </w:numPr>
      </w:pPr>
      <w:r>
        <w:t xml:space="preserve">An ICD diagnosis (e.g., hip fracture)</w:t>
      </w:r>
    </w:p>
    <w:p>
      <w:pPr>
        <w:pStyle w:val="Compact"/>
        <w:numPr>
          <w:ilvl w:val="0"/>
          <w:numId w:val="1062"/>
        </w:numPr>
      </w:pPr>
      <w:r>
        <w:t xml:space="preserve">A NOMESCO procedure code (e.g., hip replacement surgery)</w:t>
      </w:r>
    </w:p>
    <w:bookmarkEnd w:id="66"/>
    <w:bookmarkStart w:id="67" w:name="implications-for-research"/>
    <w:p>
      <w:pPr>
        <w:pStyle w:val="Heading2"/>
      </w:pPr>
      <w:r>
        <w:t xml:space="preserve">Implications for Research</w:t>
      </w:r>
    </w:p>
    <w:p>
      <w:pPr>
        <w:pStyle w:val="Compact"/>
        <w:numPr>
          <w:ilvl w:val="0"/>
          <w:numId w:val="1063"/>
        </w:numPr>
      </w:pPr>
      <w:r>
        <w:t xml:space="preserve">Diagnosis and procedure must not be confused</w:t>
      </w:r>
    </w:p>
    <w:p>
      <w:pPr>
        <w:pStyle w:val="Compact"/>
        <w:numPr>
          <w:ilvl w:val="0"/>
          <w:numId w:val="1063"/>
        </w:numPr>
      </w:pPr>
      <w:r>
        <w:t xml:space="preserve">Trends in procedures may reflect:</w:t>
      </w:r>
    </w:p>
    <w:p>
      <w:pPr>
        <w:pStyle w:val="Compact"/>
        <w:numPr>
          <w:ilvl w:val="1"/>
          <w:numId w:val="1064"/>
        </w:numPr>
      </w:pPr>
      <w:r>
        <w:t xml:space="preserve">Clinical practice changes</w:t>
      </w:r>
    </w:p>
    <w:p>
      <w:pPr>
        <w:pStyle w:val="Compact"/>
        <w:numPr>
          <w:ilvl w:val="1"/>
          <w:numId w:val="1064"/>
        </w:numPr>
      </w:pPr>
      <w:r>
        <w:t xml:space="preserve">Technology changes</w:t>
      </w:r>
    </w:p>
    <w:p>
      <w:pPr>
        <w:pStyle w:val="Compact"/>
        <w:numPr>
          <w:ilvl w:val="1"/>
          <w:numId w:val="1064"/>
        </w:numPr>
      </w:pPr>
      <w:r>
        <w:t xml:space="preserve">Policy and reimbursement incentives</w:t>
      </w:r>
    </w:p>
    <w:p>
      <w:pPr>
        <w:pStyle w:val="Compact"/>
        <w:numPr>
          <w:ilvl w:val="0"/>
          <w:numId w:val="1063"/>
        </w:numPr>
      </w:pPr>
      <w:r>
        <w:t xml:space="preserve">International comparisons require awareness that other countries (e.g., USA) use different coding systems</w:t>
      </w:r>
    </w:p>
    <w:p>
      <w:pPr>
        <w:pStyle w:val="FirstParagraph"/>
      </w:pPr>
      <w:r>
        <w:t xml:space="preserve">NOMESCO codes capture</w:t>
      </w:r>
      <w:r>
        <w:t xml:space="preserve"> </w:t>
      </w:r>
      <w:r>
        <w:rPr>
          <w:i/>
          <w:iCs/>
        </w:rPr>
        <w:t xml:space="preserve">what was done</w:t>
      </w:r>
      <w:r>
        <w:t xml:space="preserve">, not</w:t>
      </w:r>
      <w:r>
        <w:t xml:space="preserve"> </w:t>
      </w:r>
      <w:r>
        <w:rPr>
          <w:i/>
          <w:iCs/>
        </w:rPr>
        <w:t xml:space="preserve">what disease the patient had</w:t>
      </w:r>
      <w:r>
        <w:t xml:space="preserve">.</w:t>
      </w:r>
    </w:p>
    <w:bookmarkEnd w:id="67"/>
    <w:bookmarkStart w:id="68" w:name="drg"/>
    <w:p>
      <w:pPr>
        <w:pStyle w:val="Heading2"/>
      </w:pPr>
      <w:r>
        <w:t xml:space="preserve">DRG</w:t>
      </w:r>
    </w:p>
    <w:p>
      <w:pPr>
        <w:pStyle w:val="FirstParagraph"/>
      </w:pPr>
      <w:r>
        <w:rPr>
          <w:b/>
          <w:bCs/>
        </w:rPr>
        <w:t xml:space="preserve">DRG (Diagnosis-Related Groups)</w:t>
      </w:r>
      <w:r>
        <w:t xml:space="preserve"> </w:t>
      </w:r>
      <w:r>
        <w:t xml:space="preserve">is a classification system used to group hospital cases into categories expected to require similar levels of resources.</w:t>
      </w:r>
    </w:p>
    <w:p>
      <w:pPr>
        <w:pStyle w:val="BodyText"/>
      </w:pPr>
      <w:r>
        <w:t xml:space="preserve">In Sweden:</w:t>
      </w:r>
    </w:p>
    <w:p>
      <w:pPr>
        <w:pStyle w:val="Compact"/>
        <w:numPr>
          <w:ilvl w:val="0"/>
          <w:numId w:val="1065"/>
        </w:numPr>
      </w:pPr>
      <w:r>
        <w:t xml:space="preserve">Based on the</w:t>
      </w:r>
      <w:r>
        <w:t xml:space="preserve"> </w:t>
      </w:r>
      <w:r>
        <w:rPr>
          <w:b/>
          <w:bCs/>
        </w:rPr>
        <w:t xml:space="preserve">NordDRG</w:t>
      </w:r>
      <w:r>
        <w:t xml:space="preserve"> </w:t>
      </w:r>
      <w:r>
        <w:t xml:space="preserve">system</w:t>
      </w:r>
    </w:p>
    <w:p>
      <w:pPr>
        <w:pStyle w:val="Compact"/>
        <w:numPr>
          <w:ilvl w:val="0"/>
          <w:numId w:val="1065"/>
        </w:numPr>
      </w:pPr>
      <w:r>
        <w:t xml:space="preserve">Used for:</w:t>
      </w:r>
    </w:p>
    <w:p>
      <w:pPr>
        <w:pStyle w:val="Compact"/>
        <w:numPr>
          <w:ilvl w:val="1"/>
          <w:numId w:val="1066"/>
        </w:numPr>
      </w:pPr>
      <w:r>
        <w:t xml:space="preserve">Hospital reimbursement</w:t>
      </w:r>
    </w:p>
    <w:p>
      <w:pPr>
        <w:pStyle w:val="Compact"/>
        <w:numPr>
          <w:ilvl w:val="1"/>
          <w:numId w:val="1066"/>
        </w:numPr>
      </w:pPr>
      <w:r>
        <w:t xml:space="preserve">Resource allocation</w:t>
      </w:r>
    </w:p>
    <w:p>
      <w:pPr>
        <w:pStyle w:val="Compact"/>
        <w:numPr>
          <w:ilvl w:val="1"/>
          <w:numId w:val="1066"/>
        </w:numPr>
      </w:pPr>
      <w:r>
        <w:t xml:space="preserve">Health care management</w:t>
      </w:r>
    </w:p>
    <w:p>
      <w:pPr>
        <w:pStyle w:val="Compact"/>
        <w:numPr>
          <w:ilvl w:val="1"/>
          <w:numId w:val="1066"/>
        </w:numPr>
      </w:pPr>
      <w:r>
        <w:t xml:space="preserve">Productivity and efficiency analyses</w:t>
      </w:r>
    </w:p>
    <w:bookmarkEnd w:id="68"/>
    <w:bookmarkStart w:id="69" w:name="how-is-a-drg-determined"/>
    <w:p>
      <w:pPr>
        <w:pStyle w:val="Heading2"/>
      </w:pPr>
      <w:r>
        <w:t xml:space="preserve">How Is a DRG Determined?</w:t>
      </w:r>
    </w:p>
    <w:p>
      <w:pPr>
        <w:pStyle w:val="FirstParagraph"/>
      </w:pPr>
      <w:r>
        <w:t xml:space="preserve">A DRG is assigned based on a combination of:</w:t>
      </w:r>
    </w:p>
    <w:p>
      <w:pPr>
        <w:pStyle w:val="Compact"/>
        <w:numPr>
          <w:ilvl w:val="0"/>
          <w:numId w:val="1067"/>
        </w:numPr>
      </w:pPr>
      <w:r>
        <w:t xml:space="preserve">Primary diagnosis (ICD-10-SE)</w:t>
      </w:r>
    </w:p>
    <w:p>
      <w:pPr>
        <w:pStyle w:val="Compact"/>
        <w:numPr>
          <w:ilvl w:val="0"/>
          <w:numId w:val="1067"/>
        </w:numPr>
      </w:pPr>
      <w:r>
        <w:t xml:space="preserve">Secondary diagnoses</w:t>
      </w:r>
    </w:p>
    <w:p>
      <w:pPr>
        <w:pStyle w:val="Compact"/>
        <w:numPr>
          <w:ilvl w:val="0"/>
          <w:numId w:val="1067"/>
        </w:numPr>
      </w:pPr>
      <w:r>
        <w:t xml:space="preserve">Procedure codes (NOMESCO/KVÅ)</w:t>
      </w:r>
    </w:p>
    <w:p>
      <w:pPr>
        <w:pStyle w:val="Compact"/>
        <w:numPr>
          <w:ilvl w:val="0"/>
          <w:numId w:val="1067"/>
        </w:numPr>
      </w:pPr>
      <w:r>
        <w:t xml:space="preserve">Age</w:t>
      </w:r>
    </w:p>
    <w:p>
      <w:pPr>
        <w:pStyle w:val="Compact"/>
        <w:numPr>
          <w:ilvl w:val="0"/>
          <w:numId w:val="1067"/>
        </w:numPr>
      </w:pPr>
      <w:r>
        <w:t xml:space="preserve">Sex</w:t>
      </w:r>
    </w:p>
    <w:p>
      <w:pPr>
        <w:pStyle w:val="Compact"/>
        <w:numPr>
          <w:ilvl w:val="0"/>
          <w:numId w:val="1067"/>
        </w:numPr>
      </w:pPr>
      <w:r>
        <w:t xml:space="preserve">Discharge status</w:t>
      </w:r>
    </w:p>
    <w:p>
      <w:pPr>
        <w:pStyle w:val="Compact"/>
        <w:numPr>
          <w:ilvl w:val="0"/>
          <w:numId w:val="1067"/>
        </w:numPr>
      </w:pPr>
      <w:r>
        <w:t xml:space="preserve">Presence of complications or comorbidities</w:t>
      </w:r>
    </w:p>
    <w:p>
      <w:pPr>
        <w:pStyle w:val="FirstParagraph"/>
      </w:pPr>
      <w:r>
        <w:t xml:space="preserve">DRG codes are therefore derived classifications, not primary clinical codes.</w:t>
      </w:r>
    </w:p>
    <w:bookmarkEnd w:id="69"/>
    <w:bookmarkStart w:id="70" w:name="implications-for-research-1"/>
    <w:p>
      <w:pPr>
        <w:pStyle w:val="Heading2"/>
      </w:pPr>
      <w:r>
        <w:t xml:space="preserve">Implications for Research</w:t>
      </w:r>
    </w:p>
    <w:p>
      <w:pPr>
        <w:pStyle w:val="Compact"/>
        <w:numPr>
          <w:ilvl w:val="0"/>
          <w:numId w:val="1068"/>
        </w:numPr>
      </w:pPr>
      <w:r>
        <w:t xml:space="preserve">DRG reflects resource use, not disease incidence.</w:t>
      </w:r>
    </w:p>
    <w:p>
      <w:pPr>
        <w:pStyle w:val="Compact"/>
        <w:numPr>
          <w:ilvl w:val="0"/>
          <w:numId w:val="1068"/>
        </w:numPr>
      </w:pPr>
      <w:r>
        <w:t xml:space="preserve">Changes in reimbursement rules may influence coding behavior.</w:t>
      </w:r>
    </w:p>
    <w:p>
      <w:pPr>
        <w:pStyle w:val="Compact"/>
        <w:numPr>
          <w:ilvl w:val="0"/>
          <w:numId w:val="1068"/>
        </w:numPr>
      </w:pPr>
      <w:r>
        <w:t xml:space="preserve">Regional comparisons must consider administrative incentives.</w:t>
      </w:r>
    </w:p>
    <w:p>
      <w:pPr>
        <w:pStyle w:val="Compact"/>
        <w:numPr>
          <w:ilvl w:val="0"/>
          <w:numId w:val="1068"/>
        </w:numPr>
      </w:pPr>
      <w:r>
        <w:t xml:space="preserve">DRG is suitable for health services and economic analyses, but less appropriate for etiological research.</w:t>
      </w:r>
    </w:p>
    <w:bookmarkEnd w:id="70"/>
    <w:bookmarkStart w:id="71" w:name="snomed-ct-what-is-it"/>
    <w:p>
      <w:pPr>
        <w:pStyle w:val="Heading2"/>
      </w:pPr>
      <w:r>
        <w:t xml:space="preserve">SNOMED CT – What Is It?</w:t>
      </w:r>
    </w:p>
    <w:p>
      <w:pPr>
        <w:pStyle w:val="FirstParagraph"/>
      </w:pPr>
      <w:r>
        <w:rPr>
          <w:b/>
          <w:bCs/>
        </w:rPr>
        <w:t xml:space="preserve">SNOMED CT (Systematized Nomenclature of Medicine – Clinical Terms)</w:t>
      </w:r>
      <w:r>
        <w:t xml:space="preserve"> </w:t>
      </w:r>
      <w:r>
        <w:t xml:space="preserve">is a large clinical terminology system.</w:t>
      </w:r>
    </w:p>
    <w:p>
      <w:pPr>
        <w:pStyle w:val="Compact"/>
        <w:numPr>
          <w:ilvl w:val="0"/>
          <w:numId w:val="1069"/>
        </w:numPr>
      </w:pPr>
      <w:r>
        <w:t xml:space="preserve">Maintained by</w:t>
      </w:r>
      <w:r>
        <w:t xml:space="preserve"> </w:t>
      </w:r>
      <w:r>
        <w:rPr>
          <w:b/>
          <w:bCs/>
        </w:rPr>
        <w:t xml:space="preserve">SNOMED International</w:t>
      </w:r>
    </w:p>
    <w:p>
      <w:pPr>
        <w:pStyle w:val="Compact"/>
        <w:numPr>
          <w:ilvl w:val="0"/>
          <w:numId w:val="1069"/>
        </w:numPr>
      </w:pPr>
      <w:r>
        <w:t xml:space="preserve">Contains</w:t>
      </w:r>
      <w:r>
        <w:t xml:space="preserve"> </w:t>
      </w:r>
      <w:r>
        <w:rPr>
          <w:b/>
          <w:bCs/>
        </w:rPr>
        <w:t xml:space="preserve">hundreds of thousands of clinical concepts</w:t>
      </w:r>
    </w:p>
    <w:p>
      <w:pPr>
        <w:pStyle w:val="Compact"/>
        <w:numPr>
          <w:ilvl w:val="0"/>
          <w:numId w:val="1069"/>
        </w:numPr>
      </w:pPr>
      <w:r>
        <w:t xml:space="preserve">Designed for</w:t>
      </w:r>
      <w:r>
        <w:t xml:space="preserve"> </w:t>
      </w:r>
      <w:r>
        <w:rPr>
          <w:b/>
          <w:bCs/>
        </w:rPr>
        <w:t xml:space="preserve">structured documentation in electronic health records</w:t>
      </w:r>
    </w:p>
    <w:p>
      <w:pPr>
        <w:pStyle w:val="FirstParagraph"/>
      </w:pPr>
      <w:r>
        <w:t xml:space="preserve">Unlike ICD or ATC, SNOMED CT is primarily a</w:t>
      </w:r>
      <w:r>
        <w:t xml:space="preserve"> </w:t>
      </w:r>
      <w:r>
        <w:rPr>
          <w:b/>
          <w:bCs/>
        </w:rPr>
        <w:t xml:space="preserve">terminology</w:t>
      </w:r>
      <w:r>
        <w:t xml:space="preserve">, not a statistical classification.</w:t>
      </w:r>
    </w:p>
    <w:bookmarkEnd w:id="71"/>
    <w:bookmarkStart w:id="72" w:name="terminology-vs-classification"/>
    <w:p>
      <w:pPr>
        <w:pStyle w:val="Heading2"/>
      </w:pPr>
      <w:r>
        <w:t xml:space="preserve">Terminology vs Classification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ICD</w:t>
            </w:r>
          </w:p>
        </w:tc>
        <w:tc>
          <w:tcPr/>
          <w:p>
            <w:pPr>
              <w:pStyle w:val="Compact"/>
            </w:pPr>
            <w: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Epidemiology and health statistics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ATC</w:t>
            </w:r>
          </w:p>
        </w:tc>
        <w:tc>
          <w:tcPr/>
          <w:p>
            <w:pPr>
              <w:pStyle w:val="Compact"/>
            </w:pPr>
            <w: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Drug classification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KVÅ / NOMESCO</w:t>
            </w:r>
          </w:p>
        </w:tc>
        <w:tc>
          <w:tcPr/>
          <w:p>
            <w:pPr>
              <w:pStyle w:val="Compact"/>
            </w:pPr>
            <w: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Medical procedures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SNOMED CT</w:t>
            </w:r>
          </w:p>
        </w:tc>
        <w:tc>
          <w:tcPr/>
          <w:p>
            <w:pPr>
              <w:pStyle w:val="Compact"/>
            </w:pPr>
            <w:r>
              <w:t xml:space="preserve">Terminology</w:t>
            </w:r>
          </w:p>
        </w:tc>
        <w:tc>
          <w:tcPr/>
          <w:p>
            <w:pPr>
              <w:pStyle w:val="Compact"/>
            </w:pPr>
            <w:r>
              <w:t xml:space="preserve">Detailed clinical documentation</w:t>
            </w:r>
          </w:p>
        </w:tc>
      </w:tr>
    </w:tbl>
    <w:p>
      <w:pPr>
        <w:pStyle w:val="BodyText"/>
      </w:pPr>
      <w:r>
        <w:t xml:space="preserve">Classification systems simplify reality for</w:t>
      </w:r>
      <w:r>
        <w:t xml:space="preserve"> </w:t>
      </w:r>
      <w:r>
        <w:rPr>
          <w:b/>
          <w:bCs/>
        </w:rPr>
        <w:t xml:space="preserve">statistics and reporting</w:t>
      </w:r>
      <w:r>
        <w:t xml:space="preserve">, while terminologies allow</w:t>
      </w:r>
      <w:r>
        <w:t xml:space="preserve"> </w:t>
      </w:r>
      <w:r>
        <w:rPr>
          <w:b/>
          <w:bCs/>
        </w:rPr>
        <w:t xml:space="preserve">very detailed clinical descriptions</w:t>
      </w:r>
      <w:r>
        <w:t xml:space="preserve">.</w:t>
      </w:r>
    </w:p>
    <w:bookmarkEnd w:id="72"/>
    <w:bookmarkStart w:id="73" w:name="X83068a512e7e3cebce2553430415c091755fa49"/>
    <w:p>
      <w:pPr>
        <w:pStyle w:val="Heading2"/>
      </w:pPr>
      <w:r>
        <w:t xml:space="preserve">Why SNOMED CT Is Not Widely Used in Registers</w:t>
      </w:r>
    </w:p>
    <w:p>
      <w:pPr>
        <w:pStyle w:val="FirstParagraph"/>
      </w:pPr>
      <w:r>
        <w:t xml:space="preserve">Despite its strengths, SNOMED CT is rarely used directly in:</w:t>
      </w:r>
    </w:p>
    <w:p>
      <w:pPr>
        <w:pStyle w:val="Compact"/>
        <w:numPr>
          <w:ilvl w:val="0"/>
          <w:numId w:val="1070"/>
        </w:numPr>
      </w:pPr>
      <w:r>
        <w:t xml:space="preserve">national health registers</w:t>
      </w:r>
    </w:p>
    <w:p>
      <w:pPr>
        <w:pStyle w:val="Compact"/>
        <w:numPr>
          <w:ilvl w:val="0"/>
          <w:numId w:val="1070"/>
        </w:numPr>
      </w:pPr>
      <w:r>
        <w:t xml:space="preserve">epidemiological statistics</w:t>
      </w:r>
    </w:p>
    <w:p>
      <w:pPr>
        <w:pStyle w:val="FirstParagraph"/>
      </w:pPr>
      <w:r>
        <w:t xml:space="preserve">Main reasons:</w:t>
      </w:r>
    </w:p>
    <w:p>
      <w:pPr>
        <w:pStyle w:val="Compact"/>
        <w:numPr>
          <w:ilvl w:val="0"/>
          <w:numId w:val="1071"/>
        </w:numPr>
      </w:pPr>
      <w:r>
        <w:rPr>
          <w:b/>
          <w:bCs/>
        </w:rPr>
        <w:t xml:space="preserve">Too detailed</w:t>
      </w:r>
      <w:r>
        <w:t xml:space="preserve"> </w:t>
      </w:r>
      <w:r>
        <w:t xml:space="preserve">for statistical aggregation</w:t>
      </w:r>
    </w:p>
    <w:p>
      <w:pPr>
        <w:pStyle w:val="Compact"/>
        <w:numPr>
          <w:ilvl w:val="0"/>
          <w:numId w:val="1071"/>
        </w:numPr>
      </w:pPr>
      <w:r>
        <w:t xml:space="preserve">Harder to ensure consistent coding</w:t>
      </w:r>
    </w:p>
    <w:p>
      <w:pPr>
        <w:pStyle w:val="Compact"/>
        <w:numPr>
          <w:ilvl w:val="0"/>
          <w:numId w:val="1071"/>
        </w:numPr>
      </w:pPr>
      <w:r>
        <w:t xml:space="preserve">Statistical reporting systems are built around</w:t>
      </w:r>
      <w:r>
        <w:t xml:space="preserve"> </w:t>
      </w:r>
      <w:r>
        <w:rPr>
          <w:b/>
          <w:bCs/>
        </w:rPr>
        <w:t xml:space="preserve">ICD</w:t>
      </w:r>
    </w:p>
    <w:bookmarkEnd w:id="73"/>
    <w:bookmarkStart w:id="103" w:name="regular-expressions"/>
    <w:p>
      <w:pPr>
        <w:pStyle w:val="Heading1"/>
      </w:pPr>
      <w:r>
        <w:t xml:space="preserve">Regular expressions</w:t>
      </w:r>
    </w:p>
    <w:bookmarkStart w:id="75" w:name="regular-expressions-regex"/>
    <w:p>
      <w:pPr>
        <w:pStyle w:val="Heading2"/>
      </w:pPr>
      <w:r>
        <w:t xml:space="preserve">Regular Expressions (Regex)</w:t>
      </w:r>
    </w:p>
    <w:p>
      <w:pPr>
        <w:pStyle w:val="Compact"/>
        <w:numPr>
          <w:ilvl w:val="0"/>
          <w:numId w:val="1072"/>
        </w:numPr>
      </w:pPr>
      <w:r>
        <w:t xml:space="preserve">A way to describe</w:t>
      </w:r>
      <w:r>
        <w:t xml:space="preserve"> </w:t>
      </w:r>
      <w:r>
        <w:rPr>
          <w:b/>
          <w:bCs/>
        </w:rPr>
        <w:t xml:space="preserve">patterns in text</w:t>
      </w:r>
    </w:p>
    <w:p>
      <w:pPr>
        <w:pStyle w:val="Compact"/>
        <w:numPr>
          <w:ilvl w:val="0"/>
          <w:numId w:val="1072"/>
        </w:numPr>
      </w:pPr>
      <w:r>
        <w:t xml:space="preserve">Used to:</w:t>
      </w:r>
    </w:p>
    <w:p>
      <w:pPr>
        <w:pStyle w:val="Compact"/>
        <w:numPr>
          <w:ilvl w:val="1"/>
          <w:numId w:val="1073"/>
        </w:numPr>
      </w:pPr>
      <w:r>
        <w:t xml:space="preserve">Identify diagnosis codes (ICD-10)</w:t>
      </w:r>
    </w:p>
    <w:p>
      <w:pPr>
        <w:pStyle w:val="Compact"/>
        <w:numPr>
          <w:ilvl w:val="1"/>
          <w:numId w:val="1073"/>
        </w:numPr>
      </w:pPr>
      <w:r>
        <w:t xml:space="preserve">Identify drug codes (ATC)</w:t>
      </w:r>
    </w:p>
    <w:p>
      <w:pPr>
        <w:pStyle w:val="Compact"/>
        <w:numPr>
          <w:ilvl w:val="1"/>
          <w:numId w:val="1073"/>
        </w:numPr>
      </w:pPr>
      <w:r>
        <w:t xml:space="preserve">Clean register data</w:t>
      </w:r>
    </w:p>
    <w:p>
      <w:pPr>
        <w:pStyle w:val="Compact"/>
        <w:numPr>
          <w:ilvl w:val="1"/>
          <w:numId w:val="1073"/>
        </w:numPr>
      </w:pPr>
      <w:r>
        <w:t xml:space="preserve">Validate variables</w:t>
      </w:r>
    </w:p>
    <w:p>
      <w:pPr>
        <w:pStyle w:val="Compact"/>
        <w:numPr>
          <w:ilvl w:val="0"/>
          <w:numId w:val="1072"/>
        </w:numPr>
      </w:pPr>
      <w:r>
        <w:t xml:space="preserve">In R:</w:t>
      </w:r>
    </w:p>
    <w:p>
      <w:pPr>
        <w:pStyle w:val="Compact"/>
        <w:numPr>
          <w:ilvl w:val="1"/>
          <w:numId w:val="1074"/>
        </w:numPr>
      </w:pPr>
      <w:r>
        <w:t xml:space="preserve">Base R:</w:t>
      </w:r>
      <w:r>
        <w:t xml:space="preserve"> </w:t>
      </w:r>
      <w:r>
        <w:rPr>
          <w:rStyle w:val="VerbatimChar"/>
        </w:rPr>
        <w:t xml:space="preserve">grepl()</w:t>
      </w:r>
      <w:r>
        <w:t xml:space="preserve">,</w:t>
      </w:r>
      <w:r>
        <w:t xml:space="preserve"> </w:t>
      </w:r>
      <w:r>
        <w:rPr>
          <w:rStyle w:val="VerbatimChar"/>
        </w:rPr>
        <w:t xml:space="preserve">sub()</w:t>
      </w:r>
      <w:r>
        <w:t xml:space="preserve">,</w:t>
      </w:r>
      <w:r>
        <w:t xml:space="preserve"> </w:t>
      </w:r>
      <w:r>
        <w:rPr>
          <w:rStyle w:val="VerbatimChar"/>
        </w:rPr>
        <w:t xml:space="preserve">gsub()</w:t>
      </w:r>
    </w:p>
    <w:p>
      <w:pPr>
        <w:pStyle w:val="Compact"/>
        <w:numPr>
          <w:ilvl w:val="1"/>
          <w:numId w:val="1074"/>
        </w:numPr>
      </w:pPr>
      <w:r>
        <w:t xml:space="preserve">Tidyverse:</w:t>
      </w:r>
      <w:r>
        <w:t xml:space="preserve"> </w:t>
      </w:r>
      <w:r>
        <w:rPr>
          <w:rStyle w:val="VerbatimChar"/>
        </w:rPr>
        <w:t xml:space="preserve">stringr::str_detect()</w:t>
      </w:r>
      <w:r>
        <w:t xml:space="preserve">,</w:t>
      </w:r>
      <w:r>
        <w:t xml:space="preserve"> </w:t>
      </w:r>
      <w:r>
        <w:rPr>
          <w:rStyle w:val="VerbatimChar"/>
        </w:rPr>
        <w:t xml:space="preserve">str_extract()</w:t>
      </w:r>
      <w:r>
        <w:t xml:space="preserve">,</w:t>
      </w:r>
      <w:r>
        <w:t xml:space="preserve"> </w:t>
      </w:r>
      <w:r>
        <w:rPr>
          <w:rStyle w:val="VerbatimChar"/>
        </w:rPr>
        <w:t xml:space="preserve">str_replace()</w:t>
      </w:r>
    </w:p>
    <w:p>
      <w:pPr>
        <w:pStyle w:val="Compact"/>
        <w:numPr>
          <w:ilvl w:val="1"/>
          <w:numId w:val="1074"/>
        </w:numPr>
      </w:pPr>
      <w:r>
        <w:t xml:space="preserve">More efficient for big data:</w:t>
      </w:r>
      <w:r>
        <w:t xml:space="preserve"> </w:t>
      </w:r>
      <w:hyperlink r:id="rId74">
        <w:r>
          <w:rPr>
            <w:rStyle w:val="Hyperlink"/>
          </w:rPr>
          <w:t xml:space="preserve">stringfish</w:t>
        </w:r>
      </w:hyperlink>
    </w:p>
    <w:bookmarkEnd w:id="75"/>
    <w:bookmarkStart w:id="76" w:name="relevance-1"/>
    <w:p>
      <w:pPr>
        <w:pStyle w:val="Heading2"/>
      </w:pPr>
      <w:r>
        <w:t xml:space="preserve">Relevance</w:t>
      </w:r>
    </w:p>
    <w:p>
      <w:pPr>
        <w:pStyle w:val="FirstParagraph"/>
      </w:pPr>
      <w:r>
        <w:t xml:space="preserve">Typical use cases:</w:t>
      </w:r>
    </w:p>
    <w:p>
      <w:pPr>
        <w:pStyle w:val="Compact"/>
        <w:numPr>
          <w:ilvl w:val="0"/>
          <w:numId w:val="1075"/>
        </w:numPr>
      </w:pPr>
      <w:r>
        <w:t xml:space="preserve">Select all ICD-10 codes starting with</w:t>
      </w:r>
      <w:r>
        <w:t xml:space="preserve"> </w:t>
      </w:r>
      <w:r>
        <w:rPr>
          <w:rStyle w:val="VerbatimChar"/>
        </w:rPr>
        <w:t xml:space="preserve">"I21"</w:t>
      </w:r>
      <w:r>
        <w:t xml:space="preserve"> </w:t>
      </w:r>
      <w:r>
        <w:t xml:space="preserve">(acute myocardial infarction)</w:t>
      </w:r>
    </w:p>
    <w:p>
      <w:pPr>
        <w:pStyle w:val="Compact"/>
        <w:numPr>
          <w:ilvl w:val="0"/>
          <w:numId w:val="1075"/>
        </w:numPr>
      </w:pPr>
      <w:r>
        <w:t xml:space="preserve">Identify all ATC codes beginning with</w:t>
      </w:r>
      <w:r>
        <w:t xml:space="preserve"> </w:t>
      </w:r>
      <w:r>
        <w:rPr>
          <w:rStyle w:val="VerbatimChar"/>
        </w:rPr>
        <w:t xml:space="preserve">"C09"</w:t>
      </w:r>
      <w:r>
        <w:t xml:space="preserve"> </w:t>
      </w:r>
      <w:r>
        <w:t xml:space="preserve">(antihypertensives)</w:t>
      </w:r>
    </w:p>
    <w:p>
      <w:pPr>
        <w:pStyle w:val="Compact"/>
        <w:numPr>
          <w:ilvl w:val="0"/>
          <w:numId w:val="1075"/>
        </w:numPr>
      </w:pPr>
      <w:r>
        <w:t xml:space="preserve">Check for malformed codes (quality control)</w:t>
      </w:r>
    </w:p>
    <w:p>
      <w:pPr>
        <w:pStyle w:val="Compact"/>
        <w:numPr>
          <w:ilvl w:val="0"/>
          <w:numId w:val="1075"/>
        </w:numPr>
      </w:pPr>
      <w:r>
        <w:t xml:space="preserve">Extract codes embedded in free text (e.g., notes, text fields)</w:t>
      </w:r>
    </w:p>
    <w:p>
      <w:r>
        <w:pict>
          <v:rect style="width:0;height:1.5pt" o:hralign="center" o:hrstd="t" o:hr="t"/>
        </w:pict>
      </w:r>
    </w:p>
    <w:bookmarkEnd w:id="76"/>
    <w:bookmarkStart w:id="80" w:name="basic-building-blocks"/>
    <w:p>
      <w:pPr>
        <w:pStyle w:val="Heading2"/>
      </w:pPr>
      <w:r>
        <w:t xml:space="preserve">Basic Building Blocks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Symbol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^</w:t>
            </w:r>
          </w:p>
        </w:tc>
        <w:tc>
          <w:tcPr/>
          <w:p>
            <w:pPr>
              <w:pStyle w:val="Compact"/>
            </w:pPr>
            <w:r>
              <w:t xml:space="preserve">Start of string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$</w:t>
            </w:r>
          </w:p>
        </w:tc>
        <w:tc>
          <w:tcPr/>
          <w:p>
            <w:pPr>
              <w:pStyle w:val="Compact"/>
            </w:pPr>
            <w:r>
              <w:t xml:space="preserve">End of string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Any character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*</w:t>
            </w:r>
          </w:p>
        </w:tc>
        <w:tc>
          <w:tcPr/>
          <w:p>
            <w:pPr>
              <w:pStyle w:val="Compact"/>
            </w:pPr>
            <w:r>
              <w:t xml:space="preserve">0 or more repetitions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t xml:space="preserve">1 or more repetitions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0 or 1 repetition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{m,n}</w:t>
            </w:r>
          </w:p>
        </w:tc>
        <w:tc>
          <w:tcPr/>
          <w:p>
            <w:pPr>
              <w:pStyle w:val="Compact"/>
            </w:pPr>
            <w:r>
              <w:t xml:space="preserve">Between m and n repetitions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[ABC]</w:t>
            </w:r>
          </w:p>
        </w:tc>
        <w:tc>
          <w:tcPr/>
          <w:p>
            <w:pPr>
              <w:pStyle w:val="Compact"/>
            </w:pPr>
            <w:r>
              <w:t xml:space="preserve">Any of A, B, or 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[0-9]</w:t>
            </w:r>
          </w:p>
        </w:tc>
        <w:tc>
          <w:tcPr/>
          <w:p>
            <w:pPr>
              <w:pStyle w:val="Compact"/>
            </w:pPr>
            <w:r>
              <w:t xml:space="preserve">Any digit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\\d</w:t>
            </w:r>
          </w:p>
        </w:tc>
        <w:tc>
          <w:tcPr/>
          <w:p>
            <w:pPr>
              <w:pStyle w:val="Compact"/>
            </w:pPr>
            <w:r>
              <w:t xml:space="preserve">Any digit (PCRE)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7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Different versions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There are different implementations of regular expressions! The implementation in base R is described by</w:t>
            </w:r>
            <w:r>
              <w:t xml:space="preserve"> </w:t>
            </w:r>
            <w:r>
              <w:rPr>
                <w:rStyle w:val="VerbatimChar"/>
              </w:rPr>
              <w:t xml:space="preserve">?base::regex</w:t>
            </w:r>
            <w:r>
              <w:t xml:space="preserve"> </w:t>
            </w:r>
            <w:r>
              <w:t xml:space="preserve">in R. Perl-like Regular Expressions (PCRE) is a commonly used alternative requireing (</w:t>
            </w:r>
            <w:r>
              <w:rPr>
                <w:rStyle w:val="VerbatimChar"/>
              </w:rPr>
              <w:t xml:space="preserve">perl = TRUE</w:t>
            </w:r>
            <w:r>
              <w:t xml:space="preserve"> </w:t>
            </w:r>
            <w:r>
              <w:t xml:space="preserve">as argument) for the base functions.</w:t>
            </w:r>
          </w:p>
          <w:p/>
        </w:tc>
      </w:tr>
    </w:tbl>
    <w:bookmarkEnd w:id="80"/>
    <w:bookmarkStart w:id="81" w:name="example-icd-10-structure"/>
    <w:p>
      <w:pPr>
        <w:pStyle w:val="Heading2"/>
      </w:pPr>
      <w:r>
        <w:t xml:space="preserve">Example: ICD-10 Structure</w:t>
      </w:r>
    </w:p>
    <w:p>
      <w:pPr>
        <w:pStyle w:val="FirstParagraph"/>
      </w:pPr>
      <w:r>
        <w:t xml:space="preserve">ICD-10 codes typically follow:</w:t>
      </w:r>
    </w:p>
    <w:p>
      <w:pPr>
        <w:pStyle w:val="Compact"/>
        <w:numPr>
          <w:ilvl w:val="0"/>
          <w:numId w:val="1076"/>
        </w:numPr>
      </w:pPr>
      <w:r>
        <w:t xml:space="preserve">One letter</w:t>
      </w:r>
    </w:p>
    <w:p>
      <w:pPr>
        <w:pStyle w:val="Compact"/>
        <w:numPr>
          <w:ilvl w:val="0"/>
          <w:numId w:val="1076"/>
        </w:numPr>
      </w:pPr>
      <w:r>
        <w:t xml:space="preserve">Two digits</w:t>
      </w:r>
    </w:p>
    <w:p>
      <w:pPr>
        <w:pStyle w:val="Compact"/>
        <w:numPr>
          <w:ilvl w:val="0"/>
          <w:numId w:val="1076"/>
        </w:numPr>
      </w:pPr>
      <w:r>
        <w:t xml:space="preserve">Optional dot and additional digit</w:t>
      </w:r>
    </w:p>
    <w:p>
      <w:pPr>
        <w:pStyle w:val="FirstParagraph"/>
      </w:pPr>
      <w:r>
        <w:t xml:space="preserve">Regex pattern:</w:t>
      </w:r>
      <w:r>
        <w:t xml:space="preserve"> </w:t>
      </w:r>
      <w:r>
        <w:rPr>
          <w:rStyle w:val="VerbatimChar"/>
        </w:rPr>
        <w:t xml:space="preserve">^[A-Z][0-9]{2}(\\.[0-9])?$</w:t>
      </w:r>
    </w:p>
    <w:p>
      <w:pPr>
        <w:pStyle w:val="BodyText"/>
      </w:pPr>
      <w:r>
        <w:t xml:space="preserve">where</w:t>
      </w:r>
      <w:r>
        <w:t xml:space="preserve"> </w:t>
      </w:r>
      <w:r>
        <w:rPr>
          <w:rStyle w:val="VerbatimChar"/>
        </w:rPr>
        <w:t xml:space="preserve">\\</w:t>
      </w:r>
      <w:r>
        <w:t xml:space="preserve"> </w:t>
      </w:r>
      <w:r>
        <w:t xml:space="preserve">is ussed to remove the special meaning of</w:t>
      </w:r>
      <w:r>
        <w:t xml:space="preserve"> </w:t>
      </w:r>
      <w:r>
        <w:rPr>
          <w:rStyle w:val="VerbatimChar"/>
        </w:rPr>
        <w:t xml:space="preserve">.</w:t>
      </w:r>
      <w:r>
        <w:t xml:space="preserve"> </w:t>
      </w:r>
      <w:r>
        <w:t xml:space="preserve">as described above. Hence, in this case</w:t>
      </w:r>
      <w:r>
        <w:t xml:space="preserve"> </w:t>
      </w:r>
      <w:r>
        <w:rPr>
          <w:rStyle w:val="VerbatimChar"/>
        </w:rPr>
        <w:t xml:space="preserve">\\.</w:t>
      </w:r>
      <w:r>
        <w:t xml:space="preserve"> </w:t>
      </w:r>
      <w:r>
        <w:t xml:space="preserve">is interpreted as a literal</w:t>
      </w:r>
      <w:r>
        <w:t xml:space="preserve"> </w:t>
      </w:r>
      <w:r>
        <w:rPr>
          <w:rStyle w:val="VerbatimChar"/>
        </w:rPr>
        <w:t xml:space="preserve">.</w:t>
      </w:r>
      <w:r>
        <w:t xml:space="preserve"> </w:t>
      </w:r>
      <w:r>
        <w:t xml:space="preserve">as to be found in the character string. In R:</w:t>
      </w:r>
    </w:p>
    <w:p>
      <w:pPr>
        <w:pStyle w:val="SourceCode"/>
      </w:pPr>
      <w:r>
        <w:rPr>
          <w:rStyle w:val="FunctionTok"/>
        </w:rPr>
        <w:t xml:space="preserve">grepl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"^[A-Z][0-9]{2}(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.[0-9])?$"</w:t>
      </w:r>
      <w:r>
        <w:rPr>
          <w:rStyle w:val="NormalTok"/>
        </w:rPr>
        <w:t xml:space="preserve">, icd) </w:t>
      </w:r>
      <w:r>
        <w:rPr>
          <w:rStyle w:val="CommentTok"/>
        </w:rPr>
        <w:t xml:space="preserve"># base</w:t>
      </w:r>
      <w:r>
        <w:br/>
      </w:r>
      <w:r>
        <w:rPr>
          <w:rStyle w:val="NormalTok"/>
        </w:rPr>
        <w:t xml:space="preserve">stringr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str_detect</w:t>
      </w:r>
      <w:r>
        <w:rPr>
          <w:rStyle w:val="NormalTok"/>
        </w:rPr>
        <w:t xml:space="preserve">(icd, </w:t>
      </w:r>
      <w:r>
        <w:rPr>
          <w:rStyle w:val="StringTok"/>
        </w:rPr>
        <w:t xml:space="preserve">"^[A-Z][0-9]{2}(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.[0-9])?$"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 Faster and using 10 CPU cores in paralell (only relevant for "big enough data"):</w:t>
      </w:r>
      <w:r>
        <w:br/>
      </w:r>
      <w:r>
        <w:rPr>
          <w:rStyle w:val="NormalTok"/>
        </w:rPr>
        <w:t xml:space="preserve">stringfish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sf_grepl</w:t>
      </w:r>
      <w:r>
        <w:rPr>
          <w:rStyle w:val="NormalTok"/>
        </w:rPr>
        <w:t xml:space="preserve">(icd, </w:t>
      </w:r>
      <w:r>
        <w:rPr>
          <w:rStyle w:val="StringTok"/>
        </w:rPr>
        <w:t xml:space="preserve">"^[A-Z][0-9]{2}(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.[0-9])?$"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nthreads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L)</w:t>
      </w:r>
    </w:p>
    <w:bookmarkEnd w:id="81"/>
    <w:bookmarkStart w:id="82" w:name="example-select-a-diagnosis-group"/>
    <w:p>
      <w:pPr>
        <w:pStyle w:val="Heading2"/>
      </w:pPr>
      <w:r>
        <w:t xml:space="preserve">Example: Select a Diagnosis Group</w:t>
      </w:r>
    </w:p>
    <w:p>
      <w:pPr>
        <w:pStyle w:val="Compact"/>
        <w:numPr>
          <w:ilvl w:val="0"/>
          <w:numId w:val="1077"/>
        </w:numPr>
      </w:pPr>
      <w:r>
        <w:t xml:space="preserve">All acute myocardial infarction codes:</w:t>
      </w:r>
      <w:r>
        <w:t xml:space="preserve"> </w:t>
      </w:r>
      <w:r>
        <w:rPr>
          <w:rStyle w:val="VerbatimChar"/>
        </w:rPr>
        <w:t xml:space="preserve">^I21</w:t>
      </w:r>
    </w:p>
    <w:p>
      <w:pPr>
        <w:pStyle w:val="Compact"/>
        <w:numPr>
          <w:ilvl w:val="0"/>
          <w:numId w:val="1077"/>
        </w:numPr>
      </w:pPr>
      <w:r>
        <w:t xml:space="preserve">In R:</w:t>
      </w:r>
      <w:r>
        <w:t xml:space="preserve"> </w:t>
      </w:r>
      <w:r>
        <w:rPr>
          <w:rStyle w:val="VerbatimChar"/>
        </w:rPr>
        <w:t xml:space="preserve">stringr::str_detect(icd, "^I21")</w:t>
      </w:r>
    </w:p>
    <w:p>
      <w:pPr>
        <w:pStyle w:val="FirstParagraph"/>
      </w:pPr>
      <w:r>
        <w:t xml:space="preserve">This selects:</w:t>
      </w:r>
    </w:p>
    <w:p>
      <w:pPr>
        <w:pStyle w:val="Compact"/>
        <w:numPr>
          <w:ilvl w:val="0"/>
          <w:numId w:val="1078"/>
        </w:numPr>
      </w:pPr>
      <w:r>
        <w:rPr>
          <w:rStyle w:val="VerbatimChar"/>
        </w:rPr>
        <w:t xml:space="preserve">I21</w:t>
      </w:r>
    </w:p>
    <w:p>
      <w:pPr>
        <w:pStyle w:val="Compact"/>
        <w:numPr>
          <w:ilvl w:val="0"/>
          <w:numId w:val="1078"/>
        </w:numPr>
      </w:pPr>
      <w:r>
        <w:rPr>
          <w:rStyle w:val="VerbatimChar"/>
        </w:rPr>
        <w:t xml:space="preserve">I21.0</w:t>
      </w:r>
    </w:p>
    <w:p>
      <w:pPr>
        <w:pStyle w:val="Compact"/>
        <w:numPr>
          <w:ilvl w:val="0"/>
          <w:numId w:val="1078"/>
        </w:numPr>
      </w:pPr>
      <w:r>
        <w:rPr>
          <w:rStyle w:val="VerbatimChar"/>
        </w:rPr>
        <w:t xml:space="preserve">I21.9</w:t>
      </w:r>
    </w:p>
    <w:p>
      <w:pPr>
        <w:pStyle w:val="FirstParagraph"/>
      </w:pPr>
      <w:r>
        <w:t xml:space="preserve">But not:</w:t>
      </w:r>
    </w:p>
    <w:p>
      <w:pPr>
        <w:pStyle w:val="Compact"/>
        <w:numPr>
          <w:ilvl w:val="0"/>
          <w:numId w:val="1079"/>
        </w:numPr>
      </w:pPr>
      <w:r>
        <w:rPr>
          <w:rStyle w:val="VerbatimChar"/>
        </w:rPr>
        <w:t xml:space="preserve">I20</w:t>
      </w:r>
    </w:p>
    <w:p>
      <w:pPr>
        <w:pStyle w:val="Compact"/>
        <w:numPr>
          <w:ilvl w:val="0"/>
          <w:numId w:val="1079"/>
        </w:numPr>
      </w:pPr>
      <w:r>
        <w:rPr>
          <w:rStyle w:val="VerbatimChar"/>
        </w:rPr>
        <w:t xml:space="preserve">I22</w:t>
      </w:r>
    </w:p>
    <w:bookmarkEnd w:id="82"/>
    <w:bookmarkStart w:id="83" w:name="atc-code-structure"/>
    <w:p>
      <w:pPr>
        <w:pStyle w:val="Heading2"/>
      </w:pPr>
      <w:r>
        <w:t xml:space="preserve">ATC Code Structure</w:t>
      </w:r>
    </w:p>
    <w:p>
      <w:pPr>
        <w:numPr>
          <w:ilvl w:val="0"/>
          <w:numId w:val="1080"/>
        </w:numPr>
      </w:pPr>
      <w:r>
        <w:t xml:space="preserve">Example:</w:t>
      </w:r>
      <w:r>
        <w:t xml:space="preserve"> </w:t>
      </w:r>
      <w:r>
        <w:rPr>
          <w:rStyle w:val="VerbatimChar"/>
        </w:rPr>
        <w:t xml:space="preserve">C09AA05</w:t>
      </w:r>
    </w:p>
    <w:p>
      <w:pPr>
        <w:numPr>
          <w:ilvl w:val="0"/>
          <w:numId w:val="1080"/>
        </w:numPr>
      </w:pPr>
      <w:r>
        <w:t xml:space="preserve">Regex pattern:</w:t>
      </w:r>
      <w:r>
        <w:rPr>
          <w:rStyle w:val="VerbatimChar"/>
        </w:rPr>
        <w:t xml:space="preserve">^[A-Z][0-9]{2}[A-Z]{2}[0-9]{2}$</w:t>
      </w:r>
    </w:p>
    <w:p>
      <w:pPr>
        <w:numPr>
          <w:ilvl w:val="0"/>
          <w:numId w:val="1080"/>
        </w:numPr>
      </w:pPr>
      <w:r>
        <w:t xml:space="preserve">In R:</w:t>
      </w:r>
      <w:r>
        <w:t xml:space="preserve"> </w:t>
      </w:r>
      <w:r>
        <w:rPr>
          <w:rStyle w:val="VerbatimChar"/>
        </w:rPr>
        <w:t xml:space="preserve">stringr::str_detect(atc, "^[A-Z][0-9]{2}[A-Z]{2}[0-9]{2}$")</w:t>
      </w:r>
    </w:p>
    <w:p>
      <w:pPr>
        <w:numPr>
          <w:ilvl w:val="0"/>
          <w:numId w:val="1080"/>
        </w:numPr>
      </w:pPr>
      <w:r>
        <w:t xml:space="preserve">This will find any ATC code.</w:t>
      </w:r>
    </w:p>
    <w:p>
      <w:pPr>
        <w:numPr>
          <w:ilvl w:val="0"/>
          <w:numId w:val="1080"/>
        </w:numPr>
      </w:pPr>
      <w:r>
        <w:t xml:space="preserve">You might receive data with a variable supposed to contain only ATC codes</w:t>
      </w:r>
    </w:p>
    <w:p>
      <w:pPr>
        <w:numPr>
          <w:ilvl w:val="0"/>
          <w:numId w:val="1080"/>
        </w:numPr>
      </w:pPr>
      <w:r>
        <w:t xml:space="preserve">It might as well contain other information such as</w:t>
      </w:r>
      <w:r>
        <w:t xml:space="preserve"> </w:t>
      </w:r>
      <w:r>
        <w:rPr>
          <w:rStyle w:val="VerbatimChar"/>
        </w:rPr>
        <w:t xml:space="preserve">??</w:t>
      </w:r>
      <w:r>
        <w:t xml:space="preserve">,</w:t>
      </w:r>
      <w:r>
        <w:t xml:space="preserve"> </w:t>
      </w:r>
      <w:r>
        <w:rPr>
          <w:rStyle w:val="VerbatimChar"/>
        </w:rPr>
        <w:t xml:space="preserve">don't know</w:t>
      </w:r>
      <w:r>
        <w:t xml:space="preserve">,</w:t>
      </w:r>
      <w:r>
        <w:t xml:space="preserve"> </w:t>
      </w:r>
      <w:r>
        <w:rPr>
          <w:rStyle w:val="VerbatimChar"/>
        </w:rPr>
        <w:t xml:space="preserve">XXXXXXX</w:t>
      </w:r>
      <w:r>
        <w:t xml:space="preserve"> </w:t>
      </w:r>
      <w:r>
        <w:t xml:space="preserve">etc</w:t>
      </w:r>
    </w:p>
    <w:p>
      <w:pPr>
        <w:numPr>
          <w:ilvl w:val="0"/>
          <w:numId w:val="1080"/>
        </w:numPr>
      </w:pPr>
      <w:r>
        <w:t xml:space="preserve">You might replace such character strings by</w:t>
      </w:r>
      <w:r>
        <w:t xml:space="preserve"> </w:t>
      </w:r>
      <w:r>
        <w:rPr>
          <w:rStyle w:val="VerbatimChar"/>
        </w:rPr>
        <w:t xml:space="preserve">&lt;NA&gt;</w:t>
      </w:r>
    </w:p>
    <w:bookmarkEnd w:id="83"/>
    <w:bookmarkStart w:id="84" w:name="implementations"/>
    <w:p>
      <w:pPr>
        <w:pStyle w:val="Heading2"/>
      </w:pPr>
      <w:r>
        <w:t xml:space="preserve">Implementations</w:t>
      </w:r>
    </w:p>
    <w:p>
      <w:pPr>
        <w:pStyle w:val="Compact"/>
        <w:numPr>
          <w:ilvl w:val="0"/>
          <w:numId w:val="1081"/>
        </w:numPr>
      </w:pPr>
      <w:r>
        <w:t xml:space="preserve">base R and</w:t>
      </w:r>
      <w:r>
        <w:t xml:space="preserve"> </w:t>
      </w:r>
      <w:r>
        <w:rPr>
          <w:rStyle w:val="VerbatimChar"/>
        </w:rPr>
        <w:t xml:space="preserve">{stringr}</w:t>
      </w:r>
      <w:r>
        <w:t xml:space="preserve"> </w:t>
      </w:r>
      <w:r>
        <w:t xml:space="preserve">both use the same underlying regex engine (PCRE)</w:t>
      </w:r>
    </w:p>
    <w:p>
      <w:pPr>
        <w:pStyle w:val="Compact"/>
        <w:numPr>
          <w:ilvl w:val="1"/>
          <w:numId w:val="1082"/>
        </w:numPr>
      </w:pPr>
      <w:r>
        <w:t xml:space="preserve">but</w:t>
      </w:r>
      <w:r>
        <w:t xml:space="preserve"> </w:t>
      </w:r>
      <w:r>
        <w:rPr>
          <w:rStyle w:val="VerbatimChar"/>
        </w:rPr>
        <w:t xml:space="preserve">{stringr}</w:t>
      </w:r>
      <w:r>
        <w:t xml:space="preserve"> </w:t>
      </w:r>
      <w:r>
        <w:t xml:space="preserve">is more</w:t>
      </w:r>
      <w:r>
        <w:t xml:space="preserve"> </w:t>
      </w:r>
      <w:r>
        <w:t xml:space="preserve">“user friendly”</w:t>
      </w:r>
      <w:r>
        <w:t xml:space="preserve">.</w:t>
      </w:r>
    </w:p>
    <w:p>
      <w:pPr>
        <w:pStyle w:val="Compact"/>
        <w:numPr>
          <w:ilvl w:val="0"/>
          <w:numId w:val="1081"/>
        </w:numPr>
      </w:pPr>
      <w:r>
        <w:t xml:space="preserve">Stringfish seems technically sperior but is less maintained (more of a hobby project).</w:t>
      </w:r>
    </w:p>
    <w:bookmarkEnd w:id="84"/>
    <w:bookmarkStart w:id="86" w:name="common-mistakes"/>
    <w:p>
      <w:pPr>
        <w:pStyle w:val="Heading2"/>
      </w:pPr>
      <w:r>
        <w:t xml:space="preserve">Common Mistakes</w:t>
      </w:r>
    </w:p>
    <w:p>
      <w:pPr>
        <w:pStyle w:val="Compact"/>
        <w:numPr>
          <w:ilvl w:val="0"/>
          <w:numId w:val="1083"/>
        </w:numPr>
      </w:pPr>
      <w:r>
        <w:t xml:space="preserve">Forgetting</w:t>
      </w:r>
      <w:r>
        <w:t xml:space="preserve"> </w:t>
      </w:r>
      <w:r>
        <w:rPr>
          <w:rStyle w:val="VerbatimChar"/>
        </w:rPr>
        <w:t xml:space="preserve">^</w:t>
      </w:r>
      <w:r>
        <w:t xml:space="preserve"> </w:t>
      </w:r>
      <w:r>
        <w:t xml:space="preserve">when matching prefixes</w:t>
      </w:r>
    </w:p>
    <w:p>
      <w:pPr>
        <w:pStyle w:val="Compact"/>
        <w:numPr>
          <w:ilvl w:val="1"/>
          <w:numId w:val="1084"/>
        </w:numPr>
      </w:pPr>
      <w:r>
        <w:t xml:space="preserve">This is problematic even in the</w:t>
      </w:r>
      <w:r>
        <w:t xml:space="preserve"> </w:t>
      </w:r>
      <w:r>
        <w:rPr>
          <w:rStyle w:val="VerbatimChar"/>
        </w:rPr>
        <w:t xml:space="preserve">stringfish::sf_starts()</w:t>
      </w:r>
      <w:r>
        <w:t xml:space="preserve"> </w:t>
      </w:r>
      <w:r>
        <w:t xml:space="preserve">implementation!</w:t>
      </w:r>
      <w:r>
        <w:t xml:space="preserve"> </w:t>
      </w:r>
      <w:hyperlink r:id="rId85">
        <w:r>
          <w:rPr>
            <w:rStyle w:val="Hyperlink"/>
          </w:rPr>
          <w:t xml:space="preserve">See bug report</w:t>
        </w:r>
      </w:hyperlink>
      <w:r>
        <w:t xml:space="preserve">.</w:t>
      </w:r>
    </w:p>
    <w:p>
      <w:pPr>
        <w:pStyle w:val="Compact"/>
        <w:numPr>
          <w:ilvl w:val="0"/>
          <w:numId w:val="1083"/>
        </w:numPr>
      </w:pPr>
      <w:r>
        <w:t xml:space="preserve">Forgetting to escape</w:t>
      </w:r>
      <w:r>
        <w:t xml:space="preserve"> </w:t>
      </w:r>
      <w:r>
        <w:rPr>
          <w:rStyle w:val="VerbatimChar"/>
        </w:rPr>
        <w:t xml:space="preserve">.</w:t>
      </w:r>
    </w:p>
    <w:p>
      <w:pPr>
        <w:pStyle w:val="Compact"/>
        <w:numPr>
          <w:ilvl w:val="0"/>
          <w:numId w:val="1083"/>
        </w:numPr>
      </w:pPr>
      <w:r>
        <w:t xml:space="preserve">Not validating full string with</w:t>
      </w:r>
      <w:r>
        <w:t xml:space="preserve"> </w:t>
      </w:r>
      <w:r>
        <w:rPr>
          <w:rStyle w:val="VerbatimChar"/>
        </w:rPr>
        <w:t xml:space="preserve">$</w:t>
      </w:r>
    </w:p>
    <w:p>
      <w:pPr>
        <w:pStyle w:val="Compact"/>
        <w:numPr>
          <w:ilvl w:val="0"/>
          <w:numId w:val="1083"/>
        </w:numPr>
      </w:pPr>
      <w:r>
        <w:t xml:space="preserve">Overmatching (e.g.,</w:t>
      </w:r>
      <w:r>
        <w:t xml:space="preserve"> </w:t>
      </w:r>
      <w:r>
        <w:rPr>
          <w:rStyle w:val="VerbatimChar"/>
        </w:rPr>
        <w:t xml:space="preserve">I2</w:t>
      </w:r>
      <w:r>
        <w:t xml:space="preserve"> </w:t>
      </w:r>
      <w:r>
        <w:t xml:space="preserve">instead of</w:t>
      </w:r>
      <w:r>
        <w:t xml:space="preserve"> </w:t>
      </w:r>
      <w:r>
        <w:rPr>
          <w:rStyle w:val="VerbatimChar"/>
        </w:rPr>
        <w:t xml:space="preserve">^I21</w:t>
      </w:r>
      <w:r>
        <w:t xml:space="preserve">)</w:t>
      </w:r>
    </w:p>
    <w:bookmarkEnd w:id="86"/>
    <w:bookmarkStart w:id="87" w:name="standardised-groupings"/>
    <w:p>
      <w:pPr>
        <w:pStyle w:val="Heading2"/>
      </w:pPr>
      <w:r>
        <w:t xml:space="preserve">Standardised Groupings</w:t>
      </w:r>
    </w:p>
    <w:p>
      <w:pPr>
        <w:pStyle w:val="FirstParagraph"/>
      </w:pPr>
      <w:r>
        <w:t xml:space="preserve">To account for overall disease burden, researchers often use established grouping systems, such as: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Charlson Comorbidity Index</w:t>
      </w:r>
      <w:r>
        <w:t xml:space="preserve"> </w:t>
      </w:r>
      <w:r>
        <w:t xml:space="preserve">(ICD)</w:t>
      </w:r>
    </w:p>
    <w:p>
      <w:pPr>
        <w:pStyle w:val="Compact"/>
        <w:numPr>
          <w:ilvl w:val="0"/>
          <w:numId w:val="1085"/>
        </w:numPr>
      </w:pPr>
      <w:r>
        <w:rPr>
          <w:b/>
          <w:bCs/>
        </w:rPr>
        <w:t xml:space="preserve">Elixhauser Comorbidity Index</w:t>
      </w:r>
      <w:r>
        <w:t xml:space="preserve"> </w:t>
      </w:r>
      <w:r>
        <w:t xml:space="preserve">(ICD)</w:t>
      </w:r>
    </w:p>
    <w:p>
      <w:pPr>
        <w:pStyle w:val="Compact"/>
        <w:numPr>
          <w:ilvl w:val="0"/>
          <w:numId w:val="1085"/>
        </w:numPr>
      </w:pPr>
      <w:r>
        <w:t xml:space="preserve">Similar groupings of ATC-codes</w:t>
      </w:r>
    </w:p>
    <w:p>
      <w:pPr>
        <w:pStyle w:val="Compact"/>
        <w:numPr>
          <w:ilvl w:val="0"/>
          <w:numId w:val="1085"/>
        </w:numPr>
      </w:pPr>
      <w:r>
        <w:t xml:space="preserve">Combinations of those</w:t>
      </w:r>
    </w:p>
    <w:p>
      <w:pPr>
        <w:pStyle w:val="FirstParagraph"/>
      </w:pPr>
      <w:r>
        <w:t xml:space="preserve">These indices:</w:t>
      </w:r>
    </w:p>
    <w:p>
      <w:pPr>
        <w:pStyle w:val="Compact"/>
        <w:numPr>
          <w:ilvl w:val="0"/>
          <w:numId w:val="1086"/>
        </w:numPr>
      </w:pPr>
      <w:r>
        <w:t xml:space="preserve">Aggregate multiple ICD codes into clinically meaningful comorbidity categories</w:t>
      </w:r>
    </w:p>
    <w:p>
      <w:pPr>
        <w:pStyle w:val="Compact"/>
        <w:numPr>
          <w:ilvl w:val="0"/>
          <w:numId w:val="1086"/>
        </w:numPr>
      </w:pPr>
      <w:r>
        <w:t xml:space="preserve">Are commonly used for:</w:t>
      </w:r>
    </w:p>
    <w:p>
      <w:pPr>
        <w:pStyle w:val="Compact"/>
        <w:numPr>
          <w:ilvl w:val="1"/>
          <w:numId w:val="1087"/>
        </w:numPr>
      </w:pPr>
      <w:r>
        <w:t xml:space="preserve">Risk adjustment</w:t>
      </w:r>
    </w:p>
    <w:p>
      <w:pPr>
        <w:pStyle w:val="Compact"/>
        <w:numPr>
          <w:ilvl w:val="1"/>
          <w:numId w:val="1087"/>
        </w:numPr>
      </w:pPr>
      <w:r>
        <w:t xml:space="preserve">Prognostic modelling</w:t>
      </w:r>
    </w:p>
    <w:p>
      <w:pPr>
        <w:pStyle w:val="Compact"/>
        <w:numPr>
          <w:ilvl w:val="1"/>
          <w:numId w:val="1087"/>
        </w:numPr>
      </w:pPr>
      <w:r>
        <w:t xml:space="preserve">Confounding control in observational studies</w:t>
      </w:r>
    </w:p>
    <w:bookmarkEnd w:id="87"/>
    <w:bookmarkStart w:id="91" w:name="decoder"/>
    <w:p>
      <w:pPr>
        <w:pStyle w:val="Heading2"/>
      </w:pPr>
      <w:r>
        <w:rPr>
          <w:rStyle w:val="VerbatimChar"/>
        </w:rPr>
        <w:t xml:space="preserve">{decoder}</w:t>
      </w:r>
    </w:p>
    <w:p>
      <w:pPr>
        <w:pStyle w:val="Compact"/>
        <w:numPr>
          <w:ilvl w:val="0"/>
          <w:numId w:val="1088"/>
        </w:numPr>
      </w:pPr>
      <w:r>
        <w:t xml:space="preserve">The R package</w:t>
      </w:r>
      <w:r>
        <w:t xml:space="preserve"> </w:t>
      </w:r>
      <w:r>
        <w:rPr>
          <w:rStyle w:val="VerbatimChar"/>
        </w:rPr>
        <w:t xml:space="preserve">{decoder}</w:t>
      </w:r>
      <w:r>
        <w:t xml:space="preserve"> </w:t>
      </w:r>
      <w:r>
        <w:t xml:space="preserve">provides descriptions for many commonly used coding systems.</w:t>
      </w:r>
    </w:p>
    <w:p>
      <w:pPr>
        <w:pStyle w:val="Compact"/>
        <w:numPr>
          <w:ilvl w:val="0"/>
          <w:numId w:val="1088"/>
        </w:numPr>
      </w:pPr>
      <w:r>
        <w:t xml:space="preserve">In register data, you often only have the raw codes (e.g., ICD, ATC), without textual labels.</w:t>
      </w:r>
    </w:p>
    <w:p>
      <w:pPr>
        <w:pStyle w:val="Compact"/>
        <w:numPr>
          <w:ilvl w:val="0"/>
          <w:numId w:val="1088"/>
        </w:numPr>
      </w:pPr>
      <w:r>
        <w:rPr>
          <w:rStyle w:val="VerbatimChar"/>
        </w:rPr>
        <w:t xml:space="preserve">{decoder}</w:t>
      </w:r>
      <w:r>
        <w:t xml:space="preserve"> </w:t>
      </w:r>
      <w:r>
        <w:t xml:space="preserve">allows you to translate codes into meaningful descriptions (in Swedish or English), making interpretation easier and more transparent.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9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Up-to-date?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I am the maintainer of</w:t>
            </w:r>
            <w:r>
              <w:t xml:space="preserve"> </w:t>
            </w:r>
            <w:r>
              <w:rPr>
                <w:rStyle w:val="VerbatimChar"/>
              </w:rPr>
              <w:t xml:space="preserve">{decoder}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{coder}</w:t>
            </w:r>
            <w:r>
              <w:t xml:space="preserve"> </w:t>
            </w:r>
            <w:r>
              <w:t xml:space="preserve">but I have not had the time or energy to update them for a cuople of years. There are some reported issues.</w:t>
            </w:r>
          </w:p>
          <w:p/>
        </w:tc>
      </w:tr>
    </w:tbl>
    <w:bookmarkEnd w:id="91"/>
    <w:bookmarkStart w:id="102" w:name="coder"/>
    <w:p>
      <w:pPr>
        <w:pStyle w:val="Heading2"/>
      </w:pPr>
      <w:r>
        <w:rPr>
          <w:rStyle w:val="VerbatimChar"/>
        </w:rPr>
        <w:t xml:space="preserve">{coder}</w:t>
      </w:r>
    </w:p>
    <w:p>
      <w:pPr>
        <w:pStyle w:val="Compact"/>
        <w:numPr>
          <w:ilvl w:val="0"/>
          <w:numId w:val="1089"/>
        </w:numPr>
      </w:pPr>
      <w:r>
        <w:t xml:space="preserve">The R package</w:t>
      </w:r>
      <w:r>
        <w:t xml:space="preserve"> </w:t>
      </w:r>
      <w:r>
        <w:rPr>
          <w:rStyle w:val="VerbatimChar"/>
        </w:rPr>
        <w:t xml:space="preserve">{coder}</w:t>
      </w:r>
      <w:r>
        <w:t xml:space="preserve"> </w:t>
      </w:r>
      <w:r>
        <w:t xml:space="preserve">can be used to aggregate individual diagnosis codes into broader clinical categories.</w:t>
      </w:r>
    </w:p>
    <w:p>
      <w:pPr>
        <w:pStyle w:val="Compact"/>
        <w:numPr>
          <w:ilvl w:val="0"/>
          <w:numId w:val="1089"/>
        </w:numPr>
      </w:pPr>
      <w:r>
        <w:t xml:space="preserve">Common applications include:</w:t>
      </w:r>
    </w:p>
    <w:p>
      <w:pPr>
        <w:pStyle w:val="Compact"/>
        <w:numPr>
          <w:ilvl w:val="1"/>
          <w:numId w:val="1090"/>
        </w:numPr>
      </w:pPr>
      <w:r>
        <w:rPr>
          <w:b/>
          <w:bCs/>
        </w:rPr>
        <w:t xml:space="preserve">Charlson Comorbidity Index</w:t>
      </w:r>
    </w:p>
    <w:p>
      <w:pPr>
        <w:pStyle w:val="Compact"/>
        <w:numPr>
          <w:ilvl w:val="1"/>
          <w:numId w:val="1090"/>
        </w:numPr>
      </w:pPr>
      <w:r>
        <w:rPr>
          <w:b/>
          <w:bCs/>
        </w:rPr>
        <w:t xml:space="preserve">Elixhauser Comorbidity Index</w:t>
      </w:r>
    </w:p>
    <w:p>
      <w:pPr>
        <w:pStyle w:val="Compact"/>
        <w:numPr>
          <w:ilvl w:val="1"/>
          <w:numId w:val="1090"/>
        </w:numPr>
      </w:pPr>
      <w:r>
        <w:t xml:space="preserve">Other diagnosis-based groupings</w:t>
      </w:r>
    </w:p>
    <w:p>
      <w:pPr>
        <w:pStyle w:val="FirstParagraph"/>
      </w:pPr>
      <w:r>
        <w:t xml:space="preserve">This allows:</w:t>
      </w:r>
    </w:p>
    <w:p>
      <w:pPr>
        <w:pStyle w:val="Compact"/>
        <w:numPr>
          <w:ilvl w:val="0"/>
          <w:numId w:val="1091"/>
        </w:numPr>
      </w:pPr>
      <w:r>
        <w:t xml:space="preserve">Standardised comorbidity adjustment</w:t>
      </w:r>
    </w:p>
    <w:p>
      <w:pPr>
        <w:pStyle w:val="Compact"/>
        <w:numPr>
          <w:ilvl w:val="0"/>
          <w:numId w:val="1091"/>
        </w:numPr>
      </w:pPr>
      <w:r>
        <w:t xml:space="preserve">(Sort of/relatively …) transparent and reproducible case definitions</w:t>
      </w:r>
    </w:p>
    <w:p>
      <w:pPr>
        <w:pStyle w:val="Compact"/>
        <w:numPr>
          <w:ilvl w:val="0"/>
          <w:numId w:val="1091"/>
        </w:numPr>
      </w:pPr>
      <w:r>
        <w:t xml:space="preserve">Consistent grouping across studies (hopefully)</w:t>
      </w:r>
    </w:p>
    <w:p>
      <w:r>
        <w:pict>
          <v:rect style="width:0;height:1.5pt" o:hralign="center" o:hrstd="t" o:hr="t"/>
        </w:pict>
      </w:r>
    </w:p>
    <w:bookmarkStart w:id="101" w:name="refs"/>
    <w:bookmarkStart w:id="93" w:name="ref-alharbi2021"/>
    <w:p>
      <w:pPr>
        <w:pStyle w:val="Bibliography"/>
      </w:pPr>
      <w:r>
        <w:t xml:space="preserve">Alharbi, Musaed Ali, Godfrey Isouard, and Barry Tolchard. 2021.</w:t>
      </w:r>
      <w:r>
        <w:t xml:space="preserve"> </w:t>
      </w:r>
      <w:r>
        <w:t xml:space="preserve">“Historical Development of the Statistical Classification of Causes of Death and Diseases.”</w:t>
      </w:r>
      <w:r>
        <w:t xml:space="preserve"> </w:t>
      </w:r>
      <w:r>
        <w:t xml:space="preserve">Edited by Rahman Shiri.</w:t>
      </w:r>
      <w:r>
        <w:t xml:space="preserve"> </w:t>
      </w:r>
      <w:r>
        <w:rPr>
          <w:i/>
          <w:iCs/>
        </w:rPr>
        <w:t xml:space="preserve">Cogent Medicine</w:t>
      </w:r>
      <w:r>
        <w:t xml:space="preserve"> </w:t>
      </w:r>
      <w:r>
        <w:t xml:space="preserve">8 (1): 1893422.</w:t>
      </w:r>
      <w:r>
        <w:t xml:space="preserve"> </w:t>
      </w:r>
      <w:hyperlink r:id="rId92">
        <w:r>
          <w:rPr>
            <w:rStyle w:val="Hyperlink"/>
          </w:rPr>
          <w:t xml:space="preserve">https://doi.org/10.1080/2331205X.2021.1893422</w:t>
        </w:r>
      </w:hyperlink>
      <w:r>
        <w:t xml:space="preserve">.</w:t>
      </w:r>
    </w:p>
    <w:bookmarkEnd w:id="93"/>
    <w:bookmarkStart w:id="95" w:name="ref-bindel2025"/>
    <w:p>
      <w:pPr>
        <w:pStyle w:val="Bibliography"/>
      </w:pPr>
      <w:r>
        <w:t xml:space="preserve">Bindel, Lilly Josephine, and Roland Seifert. 2025.</w:t>
      </w:r>
      <w:r>
        <w:t xml:space="preserve"> </w:t>
      </w:r>
      <w:r>
        <w:t xml:space="preserve">“Problems Associated with the ATC System of Drug Classification.”</w:t>
      </w:r>
      <w:r>
        <w:t xml:space="preserve"> </w:t>
      </w:r>
      <w:r>
        <w:rPr>
          <w:i/>
          <w:iCs/>
        </w:rPr>
        <w:t xml:space="preserve">Naunyn-Schmiedeberg’s Archives of Pharmacology</w:t>
      </w:r>
      <w:r>
        <w:t xml:space="preserve">, December.</w:t>
      </w:r>
      <w:r>
        <w:t xml:space="preserve"> </w:t>
      </w:r>
      <w:hyperlink r:id="rId94">
        <w:r>
          <w:rPr>
            <w:rStyle w:val="Hyperlink"/>
          </w:rPr>
          <w:t xml:space="preserve">https://doi.org/10.1007/s00210-025-04833-1</w:t>
        </w:r>
      </w:hyperlink>
      <w:r>
        <w:t xml:space="preserve">.</w:t>
      </w:r>
    </w:p>
    <w:bookmarkEnd w:id="95"/>
    <w:bookmarkStart w:id="97" w:name="ref-nelson2024"/>
    <w:p>
      <w:pPr>
        <w:pStyle w:val="Bibliography"/>
      </w:pPr>
      <w:r>
        <w:t xml:space="preserve">Nelson, Stuart J., Ying Yin, Eduardo A. Trujillo Rivera, Yijun Shao, Phillip Ma, Mark S. Tuttle, Jennifer Garvin, and Qing Zeng-Treitler. 2024.</w:t>
      </w:r>
      <w:r>
        <w:t xml:space="preserve"> </w:t>
      </w:r>
      <w:r>
        <w:t xml:space="preserve">“Are ICD Codes Reliable for Observational Studies? Assessing Coding Consistency for Data Quality.”</w:t>
      </w:r>
      <w:r>
        <w:t xml:space="preserve"> </w:t>
      </w:r>
      <w:r>
        <w:rPr>
          <w:i/>
          <w:iCs/>
        </w:rPr>
        <w:t xml:space="preserve">DIGITAL HEALTH</w:t>
      </w:r>
      <w:r>
        <w:t xml:space="preserve"> </w:t>
      </w:r>
      <w:r>
        <w:t xml:space="preserve">10 (September): 20552076241297056.</w:t>
      </w:r>
      <w:r>
        <w:t xml:space="preserve"> </w:t>
      </w:r>
      <w:hyperlink r:id="rId96">
        <w:r>
          <w:rPr>
            <w:rStyle w:val="Hyperlink"/>
          </w:rPr>
          <w:t xml:space="preserve">https://doi.org/10.1177/20552076241297056</w:t>
        </w:r>
      </w:hyperlink>
      <w:r>
        <w:t xml:space="preserve">.</w:t>
      </w:r>
    </w:p>
    <w:bookmarkEnd w:id="97"/>
    <w:bookmarkStart w:id="98" w:name="ref-nguyen2022a"/>
    <w:p>
      <w:pPr>
        <w:pStyle w:val="Bibliography"/>
      </w:pPr>
      <w:r>
        <w:t xml:space="preserve">Nguyen, Andrew. 2022.</w:t>
      </w:r>
      <w:r>
        <w:t xml:space="preserve"> </w:t>
      </w:r>
      <w:r>
        <w:rPr>
          <w:i/>
          <w:iCs/>
        </w:rPr>
        <w:t xml:space="preserve">Hands-on healthcare data: taming the complexity of real-world data</w:t>
      </w:r>
      <w:r>
        <w:t xml:space="preserve">. First edition. Beijing Boston Farnham Sebastopol Tokyo: O’Reilly.</w:t>
      </w:r>
    </w:p>
    <w:bookmarkEnd w:id="98"/>
    <w:bookmarkStart w:id="100" w:name="ref-wickham"/>
    <w:p>
      <w:pPr>
        <w:pStyle w:val="Bibliography"/>
      </w:pPr>
      <w:r>
        <w:t xml:space="preserve">Wickham, Hadley, Mine Çetinkaya-Rundel, and Garrett Grolemund. n.d.</w:t>
      </w:r>
      <w:r>
        <w:t xml:space="preserve"> </w:t>
      </w:r>
      <w:r>
        <w:t xml:space="preserve">“R for Data Science (2e).”</w:t>
      </w:r>
      <w:r>
        <w:t xml:space="preserve"> </w:t>
      </w:r>
      <w:hyperlink r:id="rId99">
        <w:r>
          <w:rPr>
            <w:rStyle w:val="Hyperlink"/>
          </w:rPr>
          <w:t xml:space="preserve">https://r4ds.hadley.nz/</w:t>
        </w:r>
      </w:hyperlink>
      <w:r>
        <w:t xml:space="preserve">.</w:t>
      </w:r>
    </w:p>
    <w:bookmarkEnd w:id="100"/>
    <w:bookmarkEnd w:id="101"/>
    <w:bookmarkEnd w:id="102"/>
    <w:bookmarkEnd w:id="10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1"/>
  </w:num>
  <w:num w:numId="1077">
    <w:abstractNumId w:val="991"/>
  </w:num>
  <w:num w:numId="1078">
    <w:abstractNumId w:val="991"/>
  </w:num>
  <w:num w:numId="1079">
    <w:abstractNumId w:val="991"/>
  </w:num>
  <w:num w:numId="1080">
    <w:abstractNumId w:val="991"/>
  </w:num>
  <w:num w:numId="1081">
    <w:abstractNumId w:val="991"/>
  </w:num>
  <w:num w:numId="1082">
    <w:abstractNumId w:val="991"/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1"/>
  </w:num>
  <w:num w:numId="1087">
    <w:abstractNumId w:val="991"/>
  </w:num>
  <w:num w:numId="1088">
    <w:abstractNumId w:val="991"/>
  </w:num>
  <w:num w:numId="1089">
    <w:abstractNumId w:val="991"/>
  </w:num>
  <w:num w:numId="1090">
    <w:abstractNumId w:val="991"/>
  </w:num>
  <w:num w:numId="109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7" Target="media/rId77.png" /><Relationship Type="http://schemas.openxmlformats.org/officeDocument/2006/relationships/image" Id="rId88" Target="media/rId88.png" /><Relationship Type="http://schemas.openxmlformats.org/officeDocument/2006/relationships/image" Id="rId55" Target="media/rId55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hyperlink" Id="rId20" Target="file:///Users/xbuler/Downloads/cdc_5928_DS1.pdf" TargetMode="External" /><Relationship Type="http://schemas.openxmlformats.org/officeDocument/2006/relationships/hyperlink" Id="rId94" Target="https://doi.org/10.1007/s00210-025-04833-1" TargetMode="External" /><Relationship Type="http://schemas.openxmlformats.org/officeDocument/2006/relationships/hyperlink" Id="rId92" Target="https://doi.org/10.1080/2331205X.2021.1893422" TargetMode="External" /><Relationship Type="http://schemas.openxmlformats.org/officeDocument/2006/relationships/hyperlink" Id="rId96" Target="https://doi.org/10.1177/20552076241297056" TargetMode="External" /><Relationship Type="http://schemas.openxmlformats.org/officeDocument/2006/relationships/hyperlink" Id="rId74" Target="https://github.com/traversc/stringfish" TargetMode="External" /><Relationship Type="http://schemas.openxmlformats.org/officeDocument/2006/relationships/hyperlink" Id="rId85" Target="https://github.com/traversc/stringfish/issues/25" TargetMode="External" /><Relationship Type="http://schemas.openxmlformats.org/officeDocument/2006/relationships/hyperlink" Id="rId99" Target="https://r4ds.hadley.nz/" TargetMode="External" /><Relationship Type="http://schemas.openxmlformats.org/officeDocument/2006/relationships/hyperlink" Id="rId21" Target="https://stacks.cdc.gov/view/cdc/5928" TargetMode="External" /><Relationship Type="http://schemas.openxmlformats.org/officeDocument/2006/relationships/hyperlink" Id="rId59" Target="https://www.lakemedelsverket.se/en/e-services-and-forms/substance-register-and-product-register/national-substance-register-for-medicinal-products-nsl#hmainbody1" TargetMode="External" /><Relationship Type="http://schemas.openxmlformats.org/officeDocument/2006/relationships/hyperlink" Id="rId22" Target="https://www.regexone.com" TargetMode="External" /><Relationship Type="http://schemas.openxmlformats.org/officeDocument/2006/relationships/hyperlink" Id="rId39" Target="https://www.socialstyrelsen.se/contentassets/73ddf4d21b7d41408b826caf96fa6dd7/2026-1-10005.pdf" TargetMode="External" /><Relationship Type="http://schemas.openxmlformats.org/officeDocument/2006/relationships/hyperlink" Id="rId26" Target="https://www.svt.se/nyheter/lokalt/vast/vardcentraler-fuskar-med-diagnoser-for-att-fa-hogre-ersattnin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file:///Users/xbuler/Downloads/cdc_5928_DS1.pdf" TargetMode="External" /><Relationship Type="http://schemas.openxmlformats.org/officeDocument/2006/relationships/hyperlink" Id="rId94" Target="https://doi.org/10.1007/s00210-025-04833-1" TargetMode="External" /><Relationship Type="http://schemas.openxmlformats.org/officeDocument/2006/relationships/hyperlink" Id="rId92" Target="https://doi.org/10.1080/2331205X.2021.1893422" TargetMode="External" /><Relationship Type="http://schemas.openxmlformats.org/officeDocument/2006/relationships/hyperlink" Id="rId96" Target="https://doi.org/10.1177/20552076241297056" TargetMode="External" /><Relationship Type="http://schemas.openxmlformats.org/officeDocument/2006/relationships/hyperlink" Id="rId74" Target="https://github.com/traversc/stringfish" TargetMode="External" /><Relationship Type="http://schemas.openxmlformats.org/officeDocument/2006/relationships/hyperlink" Id="rId85" Target="https://github.com/traversc/stringfish/issues/25" TargetMode="External" /><Relationship Type="http://schemas.openxmlformats.org/officeDocument/2006/relationships/hyperlink" Id="rId99" Target="https://r4ds.hadley.nz/" TargetMode="External" /><Relationship Type="http://schemas.openxmlformats.org/officeDocument/2006/relationships/hyperlink" Id="rId21" Target="https://stacks.cdc.gov/view/cdc/5928" TargetMode="External" /><Relationship Type="http://schemas.openxmlformats.org/officeDocument/2006/relationships/hyperlink" Id="rId59" Target="https://www.lakemedelsverket.se/en/e-services-and-forms/substance-register-and-product-register/national-substance-register-for-medicinal-products-nsl#hmainbody1" TargetMode="External" /><Relationship Type="http://schemas.openxmlformats.org/officeDocument/2006/relationships/hyperlink" Id="rId22" Target="https://www.regexone.com" TargetMode="External" /><Relationship Type="http://schemas.openxmlformats.org/officeDocument/2006/relationships/hyperlink" Id="rId39" Target="https://www.socialstyrelsen.se/contentassets/73ddf4d21b7d41408b826caf96fa6dd7/2026-1-10005.pdf" TargetMode="External" /><Relationship Type="http://schemas.openxmlformats.org/officeDocument/2006/relationships/hyperlink" Id="rId26" Target="https://www.svt.se/nyheter/lokalt/vast/vardcentraler-fuskar-med-diagnoser-for-att-fa-hogre-ersattn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EL7: Medical coding</dc:title>
  <dc:creator/>
  <cp:keywords/>
  <dcterms:created xsi:type="dcterms:W3CDTF">2026-03-20T11:33:09Z</dcterms:created>
  <dcterms:modified xsi:type="dcterms:W3CDTF">2026-03-20T11:33:09Z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>references.bib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reading">
    <vt:lpwstr>(Nguyen 2022, ch. 3), (Wickham, Çetinkaya-Rundel, and Grolemund, n.d., ch. 15), (Bindel and Seifert 2025), (Alharbi, Isouard, and Tolchard 2021), (Nelson et al. 2024)</vt:lpwstr>
  </property>
  <property fmtid="{D5CDD505-2E9C-101B-9397-08002B2CF9AE}" pid="9" name="subtitle">
    <vt:lpwstr>ICD, ATC, KVÅ, regex</vt:lpwstr>
  </property>
  <property fmtid="{D5CDD505-2E9C-101B-9397-08002B2CF9AE}" pid="10" name="toc-title">
    <vt:lpwstr>Table of contents</vt:lpwstr>
  </property>
</Properties>
</file>